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0E" w:rsidRDefault="00A8030E" w:rsidP="00A8030E">
      <w:pPr>
        <w:jc w:val="center"/>
        <w:rPr>
          <w:b/>
        </w:rPr>
      </w:pPr>
      <w:bookmarkStart w:id="0" w:name="_GoBack"/>
      <w:bookmarkEnd w:id="0"/>
      <w:r>
        <w:rPr>
          <w:b/>
        </w:rPr>
        <w:t>З А П О В Е Д</w:t>
      </w:r>
    </w:p>
    <w:p w:rsidR="00A8030E" w:rsidRDefault="00A8030E" w:rsidP="00A8030E">
      <w:pPr>
        <w:jc w:val="center"/>
        <w:rPr>
          <w:b/>
        </w:rPr>
      </w:pPr>
    </w:p>
    <w:p w:rsidR="00A8030E" w:rsidRDefault="00A8030E" w:rsidP="00A8030E">
      <w:pPr>
        <w:jc w:val="center"/>
        <w:rPr>
          <w:b/>
        </w:rPr>
      </w:pPr>
      <w:r>
        <w:rPr>
          <w:b/>
          <w:lang w:val="be-BY"/>
        </w:rPr>
        <w:t>№</w:t>
      </w:r>
      <w:r>
        <w:rPr>
          <w:b/>
          <w:lang w:val="en-US"/>
        </w:rPr>
        <w:t xml:space="preserve"> </w:t>
      </w:r>
      <w:r>
        <w:rPr>
          <w:b/>
        </w:rPr>
        <w:t>…………………………/………………….</w:t>
      </w:r>
    </w:p>
    <w:p w:rsidR="00A8030E" w:rsidRDefault="00A8030E" w:rsidP="00A8030E">
      <w:pPr>
        <w:jc w:val="center"/>
      </w:pPr>
    </w:p>
    <w:p w:rsidR="00A8030E" w:rsidRDefault="00A8030E" w:rsidP="00A8030E">
      <w:pPr>
        <w:pStyle w:val="Header"/>
        <w:tabs>
          <w:tab w:val="clear" w:pos="9072"/>
          <w:tab w:val="right" w:pos="9214"/>
        </w:tabs>
        <w:jc w:val="both"/>
        <w:rPr>
          <w:bCs/>
        </w:rPr>
      </w:pPr>
      <w:r w:rsidRPr="002F7514">
        <w:rPr>
          <w:bCs/>
        </w:rPr>
        <w:t>На основание чл. 25, ал. 4 от Закона за администрацията, чл. 5, ал. 1, т. 9 от Устройствения правилник на Министерството на регионалното развитие и благоустройството, чл. 9, ал. 2, т. 4 от Закона за техническите изисквания към продуктите и чл. 8, ал. 1, т. 5 от Наредба № РД-02-20-1 от 2015 г. за условията и реда за влагане на строителни продукти в строежите на Република България</w:t>
      </w:r>
    </w:p>
    <w:p w:rsidR="00A8030E" w:rsidRDefault="00A8030E" w:rsidP="00A8030E">
      <w:pPr>
        <w:tabs>
          <w:tab w:val="right" w:pos="9214"/>
        </w:tabs>
        <w:ind w:left="720" w:right="360"/>
        <w:jc w:val="center"/>
        <w:rPr>
          <w:b/>
          <w:caps/>
        </w:rPr>
      </w:pPr>
    </w:p>
    <w:p w:rsidR="00A8030E" w:rsidRDefault="00A8030E" w:rsidP="00A8030E">
      <w:pPr>
        <w:tabs>
          <w:tab w:val="right" w:pos="9214"/>
        </w:tabs>
        <w:ind w:left="720" w:right="357"/>
        <w:jc w:val="center"/>
        <w:rPr>
          <w:b/>
          <w:caps/>
          <w:spacing w:val="40"/>
        </w:rPr>
      </w:pPr>
      <w:r>
        <w:rPr>
          <w:b/>
          <w:caps/>
          <w:spacing w:val="40"/>
        </w:rPr>
        <w:t>НАРЕЖДАМ:</w:t>
      </w:r>
    </w:p>
    <w:p w:rsidR="00A8030E" w:rsidRPr="00036902" w:rsidRDefault="00A8030E" w:rsidP="00A8030E">
      <w:pPr>
        <w:tabs>
          <w:tab w:val="right" w:pos="9214"/>
        </w:tabs>
        <w:jc w:val="both"/>
      </w:pPr>
    </w:p>
    <w:p w:rsidR="00A8030E" w:rsidRDefault="00A8030E" w:rsidP="00D22467">
      <w:pPr>
        <w:tabs>
          <w:tab w:val="right" w:pos="9214"/>
        </w:tabs>
        <w:spacing w:before="0" w:after="0"/>
        <w:ind w:firstLine="709"/>
        <w:jc w:val="both"/>
      </w:pPr>
      <w:r w:rsidRPr="008429A0">
        <w:t xml:space="preserve">Изменям и допълвам Заповед № РД-02-14-1329 от </w:t>
      </w:r>
      <w:r w:rsidR="00D22467">
        <w:t>0</w:t>
      </w:r>
      <w:r w:rsidRPr="008429A0">
        <w:t>3.12.2015 г.</w:t>
      </w:r>
      <w:r w:rsidR="00F175B4">
        <w:t xml:space="preserve"> (</w:t>
      </w:r>
      <w:r w:rsidR="00F175B4" w:rsidRPr="00F175B4">
        <w:t>ДВ, бр. 98 от 2015 г.),</w:t>
      </w:r>
      <w:r w:rsidRPr="008429A0">
        <w:t xml:space="preserve"> изменена и допълнена със Заповед № РД-02-14-590 от 05.07.2017 г.</w:t>
      </w:r>
      <w:r w:rsidR="00D22467">
        <w:t xml:space="preserve"> (ДВ, бр.69 от 2017</w:t>
      </w:r>
      <w:r w:rsidR="00467F0B">
        <w:t xml:space="preserve"> </w:t>
      </w:r>
      <w:r w:rsidR="00D22467">
        <w:t>г.)</w:t>
      </w:r>
      <w:r w:rsidR="00FE4781">
        <w:t>,</w:t>
      </w:r>
      <w:r>
        <w:t xml:space="preserve"> </w:t>
      </w:r>
      <w:r w:rsidRPr="00E33FB9">
        <w:t>Заповед № РД-02-14-</w:t>
      </w:r>
      <w:r>
        <w:t>257</w:t>
      </w:r>
      <w:r w:rsidRPr="00E33FB9">
        <w:t xml:space="preserve"> от </w:t>
      </w:r>
      <w:r>
        <w:t>13</w:t>
      </w:r>
      <w:r w:rsidRPr="00E33FB9">
        <w:t>.0</w:t>
      </w:r>
      <w:r>
        <w:t>3</w:t>
      </w:r>
      <w:r w:rsidRPr="00E33FB9">
        <w:t>.201</w:t>
      </w:r>
      <w:r>
        <w:t>9</w:t>
      </w:r>
      <w:r w:rsidRPr="00E33FB9">
        <w:t xml:space="preserve"> г.</w:t>
      </w:r>
      <w:r w:rsidR="00B02C3D">
        <w:t xml:space="preserve"> (</w:t>
      </w:r>
      <w:r w:rsidR="007570B4">
        <w:t>ДВ, бр. 31 от 2019 г.)</w:t>
      </w:r>
      <w:r w:rsidR="00FE4781">
        <w:t xml:space="preserve"> и Заповед № </w:t>
      </w:r>
      <w:r w:rsidR="00FE4781" w:rsidRPr="00FE4781">
        <w:t>РД-02-14-</w:t>
      </w:r>
      <w:r w:rsidR="00FE4781">
        <w:t>252</w:t>
      </w:r>
      <w:r w:rsidR="00FE4781" w:rsidRPr="00FE4781">
        <w:t xml:space="preserve"> от </w:t>
      </w:r>
      <w:r w:rsidR="00FE4781">
        <w:t>10</w:t>
      </w:r>
      <w:r w:rsidR="00FE4781" w:rsidRPr="00FE4781">
        <w:t>.0</w:t>
      </w:r>
      <w:r w:rsidR="00FE4781">
        <w:t>3</w:t>
      </w:r>
      <w:r w:rsidR="00FE4781" w:rsidRPr="00FE4781">
        <w:t>.20</w:t>
      </w:r>
      <w:r w:rsidR="00FE4781">
        <w:t>21</w:t>
      </w:r>
      <w:r w:rsidR="00FE4781" w:rsidRPr="00FE4781">
        <w:t xml:space="preserve"> г.</w:t>
      </w:r>
      <w:r w:rsidR="00A6539F" w:rsidRPr="00A6539F">
        <w:t xml:space="preserve"> (ДВ, бр. </w:t>
      </w:r>
      <w:r w:rsidR="00A6539F">
        <w:t>29</w:t>
      </w:r>
      <w:r w:rsidR="00A6539F" w:rsidRPr="00A6539F">
        <w:t xml:space="preserve"> от 20</w:t>
      </w:r>
      <w:r w:rsidR="00A6539F">
        <w:t>21</w:t>
      </w:r>
      <w:r w:rsidR="00A6539F" w:rsidRPr="00A6539F">
        <w:t xml:space="preserve"> г.)</w:t>
      </w:r>
      <w:r w:rsidRPr="008429A0">
        <w:t>, както следва:</w:t>
      </w:r>
    </w:p>
    <w:p w:rsidR="00A8030E" w:rsidRDefault="00A8030E" w:rsidP="00A8030E">
      <w:pPr>
        <w:tabs>
          <w:tab w:val="right" w:pos="9214"/>
        </w:tabs>
        <w:spacing w:before="0" w:after="0"/>
        <w:ind w:firstLine="709"/>
        <w:jc w:val="both"/>
      </w:pPr>
      <w:r>
        <w:t>1</w:t>
      </w:r>
      <w:r w:rsidRPr="001E10BB">
        <w:t xml:space="preserve">. В Приложение № 1 се </w:t>
      </w:r>
      <w:r w:rsidR="00FE4781">
        <w:t>с</w:t>
      </w:r>
      <w:r w:rsidR="00FE4781" w:rsidRPr="00FE4781">
        <w:t xml:space="preserve">ъздават </w:t>
      </w:r>
      <w:r w:rsidR="00444E4A">
        <w:t>точки</w:t>
      </w:r>
      <w:r w:rsidR="00FE4781" w:rsidRPr="00FE4781">
        <w:t xml:space="preserve"> </w:t>
      </w:r>
      <w:r w:rsidR="00FE4781">
        <w:t>80</w:t>
      </w:r>
      <w:r w:rsidR="00FE4781" w:rsidRPr="00FE4781">
        <w:t xml:space="preserve">, </w:t>
      </w:r>
      <w:r w:rsidR="00FE4781">
        <w:t>81, 82</w:t>
      </w:r>
      <w:r w:rsidR="004636B3">
        <w:t>, 83, 84</w:t>
      </w:r>
      <w:r w:rsidR="00FE4781" w:rsidRPr="00FE4781">
        <w:t xml:space="preserve"> и </w:t>
      </w:r>
      <w:r w:rsidR="00FE4781">
        <w:t>8</w:t>
      </w:r>
      <w:r w:rsidR="004636B3">
        <w:t>5</w:t>
      </w:r>
      <w:r w:rsidRPr="001E10BB">
        <w:t>:</w:t>
      </w:r>
    </w:p>
    <w:p w:rsidR="00A8030E" w:rsidRDefault="00A8030E" w:rsidP="00A8030E">
      <w:pPr>
        <w:tabs>
          <w:tab w:val="right" w:pos="9214"/>
        </w:tabs>
        <w:spacing w:before="0" w:after="0"/>
        <w:ind w:firstLine="709"/>
        <w:jc w:val="both"/>
      </w:pPr>
      <w:r>
        <w:t xml:space="preserve">„т. </w:t>
      </w:r>
      <w:r w:rsidR="00FE4781">
        <w:t>80</w:t>
      </w:r>
      <w:r w:rsidR="00A6539F">
        <w:t>.</w:t>
      </w:r>
      <w:r>
        <w:t xml:space="preserve"> БДС EN 1</w:t>
      </w:r>
      <w:r w:rsidR="00FE4781">
        <w:t>3139</w:t>
      </w:r>
      <w:r>
        <w:t>/</w:t>
      </w:r>
      <w:r>
        <w:rPr>
          <w:lang w:val="en-US"/>
        </w:rPr>
        <w:t>NA</w:t>
      </w:r>
      <w:r w:rsidRPr="00AD775F">
        <w:t xml:space="preserve"> </w:t>
      </w:r>
      <w:r w:rsidR="00A760AE" w:rsidRPr="00AD775F">
        <w:t>Добавъчни материали за разтвор</w:t>
      </w:r>
      <w:r w:rsidRPr="00AD775F">
        <w:t>. Национално приложение (</w:t>
      </w:r>
      <w:r w:rsidRPr="0014194F">
        <w:rPr>
          <w:lang w:val="en-US"/>
        </w:rPr>
        <w:t>NA</w:t>
      </w:r>
      <w:r w:rsidRPr="00AD775F">
        <w:t>)</w:t>
      </w:r>
      <w:r>
        <w:t>“</w:t>
      </w:r>
      <w:r w:rsidR="008459DD">
        <w:t>;</w:t>
      </w:r>
    </w:p>
    <w:p w:rsidR="00A8030E" w:rsidRDefault="00A8030E" w:rsidP="00A8030E">
      <w:pPr>
        <w:tabs>
          <w:tab w:val="right" w:pos="9214"/>
        </w:tabs>
        <w:spacing w:before="0" w:after="0"/>
        <w:ind w:firstLine="709"/>
        <w:jc w:val="both"/>
      </w:pPr>
      <w:r w:rsidRPr="0014194F">
        <w:t xml:space="preserve">„т. </w:t>
      </w:r>
      <w:r w:rsidR="00FE4781">
        <w:t>81</w:t>
      </w:r>
      <w:r w:rsidR="00A6539F">
        <w:t>.</w:t>
      </w:r>
      <w:r w:rsidRPr="0014194F">
        <w:t xml:space="preserve"> БДС EN 1</w:t>
      </w:r>
      <w:r w:rsidR="00DD695F">
        <w:t>504</w:t>
      </w:r>
      <w:r w:rsidRPr="0014194F">
        <w:t>-</w:t>
      </w:r>
      <w:r w:rsidR="00DD695F">
        <w:t>2</w:t>
      </w:r>
      <w:r w:rsidRPr="0014194F">
        <w:t xml:space="preserve">/NA </w:t>
      </w:r>
      <w:r w:rsidR="008F473F" w:rsidRPr="008F473F">
        <w:t>Продукти и системи за предпазване и възстановяване на бетонни конструкции. Определения, изисквания, контрол на качеството и оценяване на съответствието. Част 2: Системи за защита на повърхността на бетона. Национално приложение (NA)</w:t>
      </w:r>
      <w:r w:rsidRPr="0014194F">
        <w:t>“</w:t>
      </w:r>
      <w:r w:rsidR="008459DD">
        <w:t>;</w:t>
      </w:r>
    </w:p>
    <w:p w:rsidR="00A8030E" w:rsidRDefault="00A8030E" w:rsidP="00A8030E">
      <w:pPr>
        <w:tabs>
          <w:tab w:val="right" w:pos="9214"/>
        </w:tabs>
        <w:spacing w:before="0" w:after="0"/>
        <w:ind w:firstLine="709"/>
        <w:jc w:val="both"/>
      </w:pPr>
      <w:r w:rsidRPr="0014194F">
        <w:t xml:space="preserve">„т. </w:t>
      </w:r>
      <w:r w:rsidR="00FE4781">
        <w:t>82</w:t>
      </w:r>
      <w:r w:rsidR="00A6539F">
        <w:t>.</w:t>
      </w:r>
      <w:r w:rsidRPr="0014194F">
        <w:t xml:space="preserve"> БДС EN </w:t>
      </w:r>
      <w:r w:rsidR="0021049A">
        <w:t>1504-3</w:t>
      </w:r>
      <w:r w:rsidRPr="0014194F">
        <w:t xml:space="preserve">/NA </w:t>
      </w:r>
      <w:r w:rsidR="0021049A" w:rsidRPr="0021049A">
        <w:t>Продукти и системи за предпазване и възстановяване на бетонни конструкции. Определения, изисквания, контрол на качеството и оценяване на съответствието. Част 3: Възстановяване на конструктивни и неконструктивни елементи. Национално приложение (NA)</w:t>
      </w:r>
      <w:r w:rsidRPr="0014194F">
        <w:t>“</w:t>
      </w:r>
      <w:r w:rsidR="0021049A">
        <w:t>;</w:t>
      </w:r>
    </w:p>
    <w:p w:rsidR="0021049A" w:rsidRDefault="0021049A" w:rsidP="00A8030E">
      <w:pPr>
        <w:tabs>
          <w:tab w:val="right" w:pos="9214"/>
        </w:tabs>
        <w:spacing w:before="0" w:after="0"/>
        <w:ind w:firstLine="709"/>
        <w:jc w:val="both"/>
      </w:pPr>
      <w:r w:rsidRPr="0021049A">
        <w:lastRenderedPageBreak/>
        <w:t>„т. 8</w:t>
      </w:r>
      <w:r>
        <w:t>3</w:t>
      </w:r>
      <w:r w:rsidR="00A6539F">
        <w:t>.</w:t>
      </w:r>
      <w:r w:rsidRPr="0021049A">
        <w:t xml:space="preserve"> БДС EN </w:t>
      </w:r>
      <w:r>
        <w:t>1</w:t>
      </w:r>
      <w:r w:rsidRPr="0021049A">
        <w:t>504-</w:t>
      </w:r>
      <w:r>
        <w:t>4</w:t>
      </w:r>
      <w:r w:rsidRPr="0021049A">
        <w:t xml:space="preserve">/NA </w:t>
      </w:r>
      <w:r w:rsidR="00CF37D6" w:rsidRPr="00CF37D6">
        <w:t>Продукти и системи за предпазване и възстановяване на бетонни конструкции. Определения, изисквания, контрол на качеството и оценяване на съответствието. Част 4: Конструктивно залепване. Национално приложение (NA)</w:t>
      </w:r>
      <w:r w:rsidRPr="0021049A">
        <w:t>“;</w:t>
      </w:r>
    </w:p>
    <w:p w:rsidR="0021049A" w:rsidRDefault="0021049A" w:rsidP="00A8030E">
      <w:pPr>
        <w:tabs>
          <w:tab w:val="right" w:pos="9214"/>
        </w:tabs>
        <w:spacing w:before="0" w:after="0"/>
        <w:ind w:firstLine="709"/>
        <w:jc w:val="both"/>
      </w:pPr>
      <w:r w:rsidRPr="0021049A">
        <w:t>„т. 8</w:t>
      </w:r>
      <w:r w:rsidR="004636B3">
        <w:t>4</w:t>
      </w:r>
      <w:r w:rsidR="00A6539F">
        <w:t>.</w:t>
      </w:r>
      <w:r w:rsidRPr="0021049A">
        <w:t xml:space="preserve"> БДС EN </w:t>
      </w:r>
      <w:r>
        <w:t>1</w:t>
      </w:r>
      <w:r w:rsidRPr="0021049A">
        <w:t>504-</w:t>
      </w:r>
      <w:r>
        <w:t>6</w:t>
      </w:r>
      <w:r w:rsidRPr="0021049A">
        <w:t xml:space="preserve">/NA </w:t>
      </w:r>
      <w:r w:rsidR="009F0C88" w:rsidRPr="009F0C88">
        <w:t>Продукти и системи за предпазване и възстановяване на бетонни конструкции. Определения, изисквания, контрол на качеството и оценяване на съответствието. Част 6: Закотвяне на стоманени армировъчни пръти</w:t>
      </w:r>
      <w:r w:rsidR="009F0C88">
        <w:t xml:space="preserve">. </w:t>
      </w:r>
      <w:r w:rsidRPr="0021049A">
        <w:t>Национално приложение (NA)“;</w:t>
      </w:r>
    </w:p>
    <w:p w:rsidR="0021049A" w:rsidRDefault="0021049A" w:rsidP="00A8030E">
      <w:pPr>
        <w:tabs>
          <w:tab w:val="right" w:pos="9214"/>
        </w:tabs>
        <w:spacing w:before="0" w:after="0"/>
        <w:ind w:firstLine="709"/>
        <w:jc w:val="both"/>
      </w:pPr>
      <w:r w:rsidRPr="0021049A">
        <w:t>„т. 8</w:t>
      </w:r>
      <w:r w:rsidR="004636B3">
        <w:t>5</w:t>
      </w:r>
      <w:r w:rsidR="00A6539F">
        <w:t>.</w:t>
      </w:r>
      <w:r w:rsidRPr="0021049A">
        <w:t xml:space="preserve"> БДС EN </w:t>
      </w:r>
      <w:r w:rsidR="005C499E">
        <w:t>1</w:t>
      </w:r>
      <w:r w:rsidRPr="0021049A">
        <w:t>504-</w:t>
      </w:r>
      <w:r>
        <w:t>7</w:t>
      </w:r>
      <w:r w:rsidRPr="0021049A">
        <w:t xml:space="preserve">/NA </w:t>
      </w:r>
      <w:r w:rsidR="00A11C13" w:rsidRPr="00A11C13">
        <w:t>Продукти и системи за предпазване и възстановяване на бетонни конструкции. Определения, изисквания, контрол на качеството и оценяване на съответствието. Част 7: Предпазване на армировката от корозия</w:t>
      </w:r>
      <w:r w:rsidRPr="0021049A">
        <w:t xml:space="preserve"> Национално приложение (NA)“;</w:t>
      </w:r>
    </w:p>
    <w:p w:rsidR="00C937E3" w:rsidRDefault="00C937E3" w:rsidP="00C937E3">
      <w:pPr>
        <w:tabs>
          <w:tab w:val="right" w:pos="9214"/>
        </w:tabs>
        <w:spacing w:before="0" w:after="0"/>
        <w:ind w:firstLine="709"/>
        <w:jc w:val="both"/>
      </w:pPr>
      <w:r>
        <w:t>2. В Приложение № 2 се правят следните изменения и допълнения:</w:t>
      </w:r>
    </w:p>
    <w:p w:rsidR="00350E39" w:rsidRDefault="00350E39" w:rsidP="00C937E3">
      <w:pPr>
        <w:tabs>
          <w:tab w:val="right" w:pos="9214"/>
        </w:tabs>
        <w:spacing w:before="0" w:after="0"/>
        <w:ind w:firstLine="709"/>
        <w:jc w:val="both"/>
      </w:pPr>
      <w:r w:rsidRPr="00350E39">
        <w:t>2.</w:t>
      </w:r>
      <w:r>
        <w:t>1</w:t>
      </w:r>
      <w:r w:rsidR="00F83CA9">
        <w:t>.</w:t>
      </w:r>
      <w:r w:rsidRPr="00350E39">
        <w:t xml:space="preserve"> В т. 1</w:t>
      </w:r>
      <w:r w:rsidR="005415DF">
        <w:t>5</w:t>
      </w:r>
      <w:r w:rsidRPr="00350E39">
        <w:t xml:space="preserve"> текстът „БДС EN 15874-</w:t>
      </w:r>
      <w:r w:rsidR="005415DF">
        <w:t>1</w:t>
      </w:r>
      <w:r w:rsidRPr="00350E39">
        <w:t xml:space="preserve">/NA Пластмасови тръбопроводни системи за инсталации за топла и студена вода. Полипропилен (PP). Част </w:t>
      </w:r>
      <w:r w:rsidR="005415DF">
        <w:t>1</w:t>
      </w:r>
      <w:r w:rsidRPr="00350E39">
        <w:t xml:space="preserve">: </w:t>
      </w:r>
      <w:r w:rsidR="005415DF">
        <w:t>Общи положения</w:t>
      </w:r>
      <w:r w:rsidRPr="00350E39">
        <w:t>. Национално приложение (NA)“ се заменя със „БДС EN ISO 15874-</w:t>
      </w:r>
      <w:r w:rsidR="005415DF">
        <w:t>1</w:t>
      </w:r>
      <w:r w:rsidRPr="00350E39">
        <w:t xml:space="preserve">/NA Пластмасови тръбопроводни системи за инсталации за топла и студена вода. Полипропилен (PP). Част </w:t>
      </w:r>
      <w:r w:rsidR="005415DF">
        <w:t>1</w:t>
      </w:r>
      <w:r w:rsidRPr="00350E39">
        <w:t xml:space="preserve">: </w:t>
      </w:r>
      <w:r w:rsidR="005415DF">
        <w:t>Общи положения</w:t>
      </w:r>
      <w:r w:rsidR="00FF2F3A">
        <w:t xml:space="preserve"> </w:t>
      </w:r>
      <w:r w:rsidR="00FF2F3A" w:rsidRPr="00FF2F3A">
        <w:t>(ISO 15874-</w:t>
      </w:r>
      <w:r w:rsidR="00C63C5B">
        <w:t>1</w:t>
      </w:r>
      <w:r w:rsidR="00FF2F3A" w:rsidRPr="00FF2F3A">
        <w:t>:2013).</w:t>
      </w:r>
      <w:r w:rsidRPr="00350E39">
        <w:t xml:space="preserve"> Национално приложение (NA)“.</w:t>
      </w:r>
    </w:p>
    <w:p w:rsidR="005415DF" w:rsidRDefault="005415DF" w:rsidP="00C937E3">
      <w:pPr>
        <w:tabs>
          <w:tab w:val="right" w:pos="9214"/>
        </w:tabs>
        <w:spacing w:before="0" w:after="0"/>
        <w:ind w:firstLine="709"/>
        <w:jc w:val="both"/>
      </w:pPr>
      <w:r w:rsidRPr="005415DF">
        <w:t>2.</w:t>
      </w:r>
      <w:r>
        <w:t>2</w:t>
      </w:r>
      <w:r w:rsidR="00F83CA9">
        <w:t>.</w:t>
      </w:r>
      <w:r w:rsidRPr="005415DF">
        <w:t xml:space="preserve"> В т. 16 текстът „БДС EN 15874-2/NA Пластмасови тръбопроводни системи за инсталации за топла и студена вода. Полипропилен (PP). Част 2: Тръби. Национално приложение (NA)“ се заменя със „БДС EN ISO 15874-2/NA Пластмасови тръбопроводни системи за инсталации за топла и студена вода. Полипропилен (PP). Част 2: Тръби (ISO 15874-2:2013). Национално приложение (NA)“.</w:t>
      </w:r>
    </w:p>
    <w:p w:rsidR="00E25AD9" w:rsidRDefault="00E25AD9" w:rsidP="00C937E3">
      <w:pPr>
        <w:tabs>
          <w:tab w:val="right" w:pos="9214"/>
        </w:tabs>
        <w:spacing w:before="0" w:after="0"/>
        <w:ind w:firstLine="709"/>
        <w:jc w:val="both"/>
      </w:pPr>
      <w:r>
        <w:t>2.</w:t>
      </w:r>
      <w:r w:rsidR="005415DF">
        <w:t>3</w:t>
      </w:r>
      <w:r w:rsidR="00F83CA9">
        <w:t>.</w:t>
      </w:r>
      <w:r>
        <w:t xml:space="preserve"> </w:t>
      </w:r>
      <w:r w:rsidR="00254CD9" w:rsidRPr="00254CD9">
        <w:t xml:space="preserve">В т. </w:t>
      </w:r>
      <w:r w:rsidR="00254CD9">
        <w:t>1</w:t>
      </w:r>
      <w:r w:rsidR="00350E39">
        <w:t>7</w:t>
      </w:r>
      <w:r w:rsidR="00254CD9" w:rsidRPr="00254CD9">
        <w:t xml:space="preserve"> текстът „БДС EN 1</w:t>
      </w:r>
      <w:r w:rsidR="00254CD9">
        <w:t>5874-</w:t>
      </w:r>
      <w:r w:rsidR="00350E39">
        <w:t>3</w:t>
      </w:r>
      <w:r w:rsidR="00254CD9" w:rsidRPr="00254CD9">
        <w:t xml:space="preserve">/NA </w:t>
      </w:r>
      <w:r w:rsidR="00C53228" w:rsidRPr="00C53228">
        <w:t>Пластмасови тръбопроводни системи за инсталации за топла и студена вода. П</w:t>
      </w:r>
      <w:r w:rsidR="00C53228">
        <w:t xml:space="preserve">олипропилен (PP). Част </w:t>
      </w:r>
      <w:r w:rsidR="00191F31">
        <w:t>3</w:t>
      </w:r>
      <w:r w:rsidR="00C53228">
        <w:t xml:space="preserve">: </w:t>
      </w:r>
      <w:r w:rsidR="00191F31" w:rsidRPr="00191F31">
        <w:t>Свързващи части</w:t>
      </w:r>
      <w:r w:rsidR="00C53228" w:rsidRPr="00C53228">
        <w:t>. Национално приложение (NA)</w:t>
      </w:r>
      <w:r w:rsidR="00254CD9" w:rsidRPr="00254CD9">
        <w:t>“ се заменя със „</w:t>
      </w:r>
      <w:r w:rsidR="00A91F1B" w:rsidRPr="00A91F1B">
        <w:t xml:space="preserve">БДС EN </w:t>
      </w:r>
      <w:r w:rsidR="00A91F1B">
        <w:rPr>
          <w:lang w:val="en-US"/>
        </w:rPr>
        <w:t>ISO</w:t>
      </w:r>
      <w:r w:rsidR="00A91F1B" w:rsidRPr="00AD775F">
        <w:t xml:space="preserve"> </w:t>
      </w:r>
      <w:r w:rsidR="00A91F1B" w:rsidRPr="00A91F1B">
        <w:t>15874-</w:t>
      </w:r>
      <w:r w:rsidR="00350E39">
        <w:t>3</w:t>
      </w:r>
      <w:r w:rsidR="00A91F1B" w:rsidRPr="00A91F1B">
        <w:t xml:space="preserve">/NA </w:t>
      </w:r>
      <w:r w:rsidR="003C41FC" w:rsidRPr="003C41FC">
        <w:t>Пластмасови тръбопроводни системи за инсталации за топла и студена вода. Полипропилен (PP). Част 3: Свързващи части (ISO 15874-3:2013). Национално приложение (NA)</w:t>
      </w:r>
      <w:r w:rsidR="00254CD9" w:rsidRPr="00254CD9">
        <w:t>“.</w:t>
      </w:r>
    </w:p>
    <w:p w:rsidR="00350E39" w:rsidRDefault="00350E39" w:rsidP="00C937E3">
      <w:pPr>
        <w:tabs>
          <w:tab w:val="right" w:pos="9214"/>
        </w:tabs>
        <w:spacing w:before="0" w:after="0"/>
        <w:ind w:firstLine="709"/>
        <w:jc w:val="both"/>
      </w:pPr>
      <w:r w:rsidRPr="00350E39">
        <w:t>2.</w:t>
      </w:r>
      <w:r w:rsidR="005415DF">
        <w:t>4</w:t>
      </w:r>
      <w:r w:rsidR="00F83CA9">
        <w:t>.</w:t>
      </w:r>
      <w:r w:rsidRPr="00350E39">
        <w:t xml:space="preserve"> Заличава се т</w:t>
      </w:r>
      <w:r w:rsidR="00431ED2">
        <w:t>очка</w:t>
      </w:r>
      <w:r w:rsidRPr="00350E39">
        <w:t xml:space="preserve"> 22.</w:t>
      </w:r>
    </w:p>
    <w:p w:rsidR="00C937E3" w:rsidRDefault="00233036" w:rsidP="00C937E3">
      <w:pPr>
        <w:tabs>
          <w:tab w:val="right" w:pos="9214"/>
        </w:tabs>
        <w:spacing w:before="0" w:after="0"/>
        <w:ind w:firstLine="709"/>
        <w:jc w:val="both"/>
      </w:pPr>
      <w:r>
        <w:t>2</w:t>
      </w:r>
      <w:r w:rsidR="00C937E3">
        <w:t>.</w:t>
      </w:r>
      <w:r w:rsidR="00327435">
        <w:t>5</w:t>
      </w:r>
      <w:r w:rsidR="00F83CA9">
        <w:t>.</w:t>
      </w:r>
      <w:r w:rsidR="00C937E3">
        <w:t xml:space="preserve"> Създава</w:t>
      </w:r>
      <w:r w:rsidR="001069E1">
        <w:t>т</w:t>
      </w:r>
      <w:r w:rsidR="00C937E3">
        <w:t xml:space="preserve"> се т</w:t>
      </w:r>
      <w:r w:rsidR="00431ED2">
        <w:t>очки</w:t>
      </w:r>
      <w:r w:rsidR="00C937E3">
        <w:t xml:space="preserve"> 29</w:t>
      </w:r>
      <w:r w:rsidR="001069E1">
        <w:t xml:space="preserve"> и 30</w:t>
      </w:r>
      <w:r w:rsidR="00C937E3">
        <w:t>:</w:t>
      </w:r>
    </w:p>
    <w:p w:rsidR="00C937E3" w:rsidRPr="001069E1" w:rsidRDefault="00C937E3" w:rsidP="00C937E3">
      <w:pPr>
        <w:tabs>
          <w:tab w:val="right" w:pos="9214"/>
        </w:tabs>
        <w:spacing w:before="0" w:after="0"/>
        <w:ind w:firstLine="709"/>
        <w:jc w:val="both"/>
      </w:pPr>
      <w:r>
        <w:t>„т. 29</w:t>
      </w:r>
      <w:r w:rsidR="0011046A">
        <w:t>.</w:t>
      </w:r>
      <w:r>
        <w:t xml:space="preserve"> БДС EN </w:t>
      </w:r>
      <w:r w:rsidRPr="00C937E3">
        <w:t xml:space="preserve">ISO 23856/NA </w:t>
      </w:r>
      <w:r w:rsidR="005F3209" w:rsidRPr="005F3209">
        <w:t xml:space="preserve">Пластмасови тръбопроводни системи за напорно и безнапорно водоснабдяване, отводняване или канализация. Системи от усилени със </w:t>
      </w:r>
      <w:r w:rsidR="005F3209" w:rsidRPr="005F3209">
        <w:lastRenderedPageBreak/>
        <w:t>стъклени влакна термореактивни пластмаси (GRP) на основата на ненаситени полиестерни смоли (UP) (ISO 23856:2021)</w:t>
      </w:r>
      <w:r w:rsidR="00234F07">
        <w:t>. Национално приложение (NA)“</w:t>
      </w:r>
      <w:r w:rsidR="001069E1" w:rsidRPr="00AD775F">
        <w:t>;</w:t>
      </w:r>
    </w:p>
    <w:p w:rsidR="001069E1" w:rsidRDefault="001069E1" w:rsidP="00C937E3">
      <w:pPr>
        <w:tabs>
          <w:tab w:val="right" w:pos="9214"/>
        </w:tabs>
        <w:spacing w:before="0" w:after="0"/>
        <w:ind w:firstLine="709"/>
        <w:jc w:val="both"/>
      </w:pPr>
      <w:r w:rsidRPr="001069E1">
        <w:t xml:space="preserve">„т. </w:t>
      </w:r>
      <w:r>
        <w:t>30</w:t>
      </w:r>
      <w:r w:rsidR="0011046A">
        <w:t>.</w:t>
      </w:r>
      <w:r w:rsidRPr="001069E1">
        <w:t xml:space="preserve"> БДС EN </w:t>
      </w:r>
      <w:r>
        <w:t>197-5</w:t>
      </w:r>
      <w:r w:rsidRPr="001069E1">
        <w:t xml:space="preserve">/NA </w:t>
      </w:r>
      <w:r w:rsidR="003457C3" w:rsidRPr="003457C3">
        <w:t>Цимент. Част 5: Смесен портландцимент CEM ІІ/С-М и смесен цимент СЕ</w:t>
      </w:r>
      <w:r w:rsidR="003457C3">
        <w:t xml:space="preserve">М VІ. Национално приложение </w:t>
      </w:r>
      <w:r w:rsidRPr="001069E1">
        <w:t>(NA)“;</w:t>
      </w:r>
    </w:p>
    <w:p w:rsidR="008459DD" w:rsidRDefault="008459DD" w:rsidP="00A8030E">
      <w:pPr>
        <w:tabs>
          <w:tab w:val="right" w:pos="9214"/>
        </w:tabs>
        <w:spacing w:before="0" w:after="0"/>
        <w:ind w:firstLine="709"/>
        <w:jc w:val="both"/>
      </w:pPr>
      <w:r>
        <w:t xml:space="preserve">3. В </w:t>
      </w:r>
      <w:r w:rsidR="00266300">
        <w:t>П</w:t>
      </w:r>
      <w:r>
        <w:t>риложение № 3 се правят следните изменения и допълнения:</w:t>
      </w:r>
    </w:p>
    <w:p w:rsidR="00C33FAC" w:rsidRDefault="00647EC9" w:rsidP="00A8030E">
      <w:pPr>
        <w:tabs>
          <w:tab w:val="right" w:pos="9214"/>
        </w:tabs>
        <w:spacing w:before="0" w:after="0"/>
        <w:ind w:firstLine="709"/>
        <w:jc w:val="both"/>
      </w:pPr>
      <w:r>
        <w:t>3.1</w:t>
      </w:r>
      <w:r w:rsidR="000F2448">
        <w:t>.</w:t>
      </w:r>
      <w:r>
        <w:t xml:space="preserve"> </w:t>
      </w:r>
      <w:r w:rsidR="00C33FAC">
        <w:t>Точка 5 се изменя така:</w:t>
      </w:r>
    </w:p>
    <w:p w:rsidR="00C33FAC" w:rsidRPr="00C33FAC" w:rsidRDefault="00C33FAC" w:rsidP="00C33FAC">
      <w:pPr>
        <w:spacing w:before="0" w:after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„</w:t>
      </w:r>
      <w:r w:rsidRPr="00C33FAC">
        <w:rPr>
          <w:b/>
          <w:highlight w:val="white"/>
          <w:shd w:val="clear" w:color="auto" w:fill="FEFEFE"/>
        </w:rPr>
        <w:t>5.</w:t>
      </w:r>
      <w:r w:rsidRPr="00C33FAC">
        <w:rPr>
          <w:highlight w:val="white"/>
          <w:shd w:val="clear" w:color="auto" w:fill="FEFEFE"/>
        </w:rPr>
        <w:t xml:space="preserve"> </w:t>
      </w:r>
      <w:r w:rsidRPr="00C33FAC">
        <w:rPr>
          <w:b/>
          <w:highlight w:val="white"/>
          <w:shd w:val="clear" w:color="auto" w:fill="FEFEFE"/>
        </w:rPr>
        <w:t>Национални изисквания за определяне и деклариране на характеристиките на вътрешни врати за пешеходци в зависимост от предвидената употреба</w:t>
      </w:r>
    </w:p>
    <w:p w:rsidR="00C33FAC" w:rsidRPr="00C33FAC" w:rsidRDefault="00C33FAC" w:rsidP="00C33FAC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b/>
          <w:highlight w:val="white"/>
          <w:shd w:val="clear" w:color="auto" w:fill="FEFEFE"/>
        </w:rPr>
      </w:pPr>
    </w:p>
    <w:p w:rsidR="00C33FAC" w:rsidRPr="00C33FAC" w:rsidRDefault="00C33FAC" w:rsidP="008E7B0F">
      <w:pPr>
        <w:widowControl w:val="0"/>
        <w:autoSpaceDE w:val="0"/>
        <w:autoSpaceDN w:val="0"/>
        <w:adjustRightInd w:val="0"/>
        <w:spacing w:before="0" w:after="0"/>
        <w:ind w:firstLine="850"/>
        <w:jc w:val="both"/>
        <w:rPr>
          <w:strike/>
          <w:highlight w:val="white"/>
          <w:shd w:val="clear" w:color="auto" w:fill="FEFEFE"/>
        </w:rPr>
      </w:pPr>
      <w:r w:rsidRPr="00C33FAC">
        <w:rPr>
          <w:highlight w:val="white"/>
          <w:shd w:val="clear" w:color="auto" w:fill="FEFEFE"/>
        </w:rPr>
        <w:t xml:space="preserve">Изискванията се прилагат за определяне и деклариране на постоянството на характеристиките на вътрешни врати за пешеходци, съгласно изискванията на цитираните в таблиците стандарти. </w:t>
      </w:r>
    </w:p>
    <w:p w:rsidR="00C33FAC" w:rsidRPr="00C33FAC" w:rsidRDefault="00C33FAC" w:rsidP="008E7B0F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b/>
          <w:highlight w:val="white"/>
          <w:shd w:val="clear" w:color="auto" w:fill="FEFEFE"/>
        </w:rPr>
      </w:pPr>
    </w:p>
    <w:p w:rsidR="00C33FAC" w:rsidRPr="00C33FAC" w:rsidRDefault="00C33FAC" w:rsidP="00C33FAC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b/>
          <w:highlight w:val="white"/>
          <w:shd w:val="clear" w:color="auto" w:fill="FEFEFE"/>
        </w:rPr>
      </w:pPr>
      <w:r w:rsidRPr="00C33FAC">
        <w:rPr>
          <w:b/>
          <w:highlight w:val="white"/>
          <w:shd w:val="clear" w:color="auto" w:fill="FEFEFE"/>
        </w:rPr>
        <w:t xml:space="preserve">5.1. </w:t>
      </w:r>
      <w:r w:rsidRPr="00C33FAC">
        <w:rPr>
          <w:b/>
          <w:highlight w:val="white"/>
          <w:shd w:val="clear" w:color="auto" w:fill="FEFEFE"/>
        </w:rPr>
        <w:tab/>
        <w:t xml:space="preserve">Вътрешни врати за пешеходци </w:t>
      </w:r>
    </w:p>
    <w:p w:rsidR="00C33FAC" w:rsidRPr="00C33FAC" w:rsidRDefault="00C33FAC" w:rsidP="00C33FAC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highlight w:val="white"/>
          <w:shd w:val="clear" w:color="auto" w:fill="FEFEFE"/>
        </w:rPr>
      </w:pPr>
      <w:r w:rsidRPr="00C33FAC">
        <w:rPr>
          <w:highlight w:val="white"/>
          <w:shd w:val="clear" w:color="auto" w:fill="FEFEFE"/>
        </w:rPr>
        <w:t>Характеристиките се прилагат за всички вътрешни врати за пешеходци.</w:t>
      </w:r>
    </w:p>
    <w:p w:rsidR="00C33FAC" w:rsidRPr="00C33FAC" w:rsidRDefault="00C33FAC" w:rsidP="00C33FAC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highlight w:val="white"/>
          <w:shd w:val="clear" w:color="auto" w:fill="FEFEFE"/>
        </w:rPr>
      </w:pPr>
      <w:r w:rsidRPr="00C33FAC">
        <w:rPr>
          <w:highlight w:val="white"/>
          <w:shd w:val="clear" w:color="auto" w:fill="FEFEFE"/>
        </w:rPr>
        <w:t>Таблица № 1</w:t>
      </w:r>
    </w:p>
    <w:tbl>
      <w:tblPr>
        <w:tblW w:w="960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096"/>
        <w:gridCol w:w="2127"/>
        <w:gridCol w:w="2976"/>
      </w:tblGrid>
      <w:tr w:rsidR="00C33FAC" w:rsidRPr="00C33FAC" w:rsidTr="002E0B04">
        <w:trPr>
          <w:trHeight w:val="22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2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highlight w:val="white"/>
                <w:shd w:val="clear" w:color="auto" w:fill="FEFEFE"/>
              </w:rPr>
              <w:t>Характеристика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highlight w:val="white"/>
                <w:shd w:val="clear" w:color="auto" w:fill="FEFEFE"/>
              </w:rPr>
              <w:t>Начин на деклариране на показателя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highlight w:val="white"/>
                <w:shd w:val="clear" w:color="auto" w:fill="FEFEFE"/>
              </w:rPr>
              <w:t>клас/ниво/описание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highlight w:val="white"/>
                <w:shd w:val="clear" w:color="auto" w:fill="FEFEFE"/>
              </w:rPr>
              <w:t>(единица мярка)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highlight w:val="white"/>
                <w:shd w:val="clear" w:color="auto" w:fill="FEFEFE"/>
              </w:rPr>
              <w:t>Метод за изпитване/определяне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highlight w:val="white"/>
                <w:shd w:val="clear" w:color="auto" w:fill="FEFEFE"/>
              </w:rPr>
              <w:t>Изискване за деклариране/гранично ниво</w:t>
            </w:r>
          </w:p>
        </w:tc>
      </w:tr>
      <w:tr w:rsidR="00C33FAC" w:rsidRPr="00C33FAC" w:rsidTr="002E0B04">
        <w:trPr>
          <w:trHeight w:val="22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2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Височина, широчина и дебелина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ниво (mm)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измерват се с помощта на калибриран уред с точност клас II</w:t>
            </w: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ниво (mm), включително  допустимото отклонение</w:t>
            </w:r>
          </w:p>
        </w:tc>
      </w:tr>
      <w:tr w:rsidR="00C33FAC" w:rsidRPr="00C33FAC" w:rsidTr="002E0B04">
        <w:trPr>
          <w:trHeight w:val="22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2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Обща и локална равнинност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Клас (mm)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БДС EN 952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деклариран клас по БДС EN 1530</w:t>
            </w:r>
          </w:p>
        </w:tc>
      </w:tr>
      <w:tr w:rsidR="00C33FAC" w:rsidRPr="00C33FAC" w:rsidTr="002E0B04">
        <w:trPr>
          <w:trHeight w:val="113"/>
        </w:trPr>
        <w:tc>
          <w:tcPr>
            <w:tcW w:w="96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left w:w="2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Механична якост:</w:t>
            </w:r>
          </w:p>
        </w:tc>
      </w:tr>
      <w:tr w:rsidR="00C33FAC" w:rsidRPr="00C33FAC" w:rsidTr="002E0B04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left w:w="2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- Устойчивост на вертикално натоварване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Клас (N)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БДС EN 947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деклариран клас по БДС EN 1192</w:t>
            </w:r>
          </w:p>
        </w:tc>
      </w:tr>
      <w:tr w:rsidR="00C33FAC" w:rsidRPr="00C33FAC" w:rsidTr="002E0B04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2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- Устойчивост на статично усукване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jc w:val="center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Клас (N)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БДС EN 948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0" w:type="dxa"/>
              <w:right w:w="20" w:type="dxa"/>
            </w:tcMar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деклариран клас по БДС EN 1192</w:t>
            </w:r>
          </w:p>
        </w:tc>
      </w:tr>
    </w:tbl>
    <w:p w:rsidR="00C33FAC" w:rsidRPr="00C33FAC" w:rsidRDefault="00C33FAC" w:rsidP="00C33FAC">
      <w:pPr>
        <w:widowControl w:val="0"/>
        <w:autoSpaceDE w:val="0"/>
        <w:autoSpaceDN w:val="0"/>
        <w:adjustRightInd w:val="0"/>
        <w:spacing w:before="0" w:after="0" w:line="240" w:lineRule="auto"/>
        <w:ind w:firstLine="850"/>
        <w:jc w:val="both"/>
        <w:rPr>
          <w:highlight w:val="white"/>
          <w:shd w:val="clear" w:color="auto" w:fill="FEFEFE"/>
        </w:rPr>
      </w:pPr>
    </w:p>
    <w:p w:rsidR="00C33FAC" w:rsidRPr="00C33FAC" w:rsidRDefault="00C33FAC" w:rsidP="00C33FAC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b/>
          <w:highlight w:val="white"/>
          <w:shd w:val="clear" w:color="auto" w:fill="FEFEFE"/>
        </w:rPr>
      </w:pPr>
      <w:r w:rsidRPr="00C33FAC">
        <w:rPr>
          <w:b/>
          <w:highlight w:val="white"/>
          <w:shd w:val="clear" w:color="auto" w:fill="FEFEFE"/>
        </w:rPr>
        <w:t xml:space="preserve">5.2. </w:t>
      </w:r>
      <w:r w:rsidRPr="00C33FAC">
        <w:rPr>
          <w:b/>
          <w:highlight w:val="white"/>
          <w:shd w:val="clear" w:color="auto" w:fill="FEFEFE"/>
        </w:rPr>
        <w:tab/>
        <w:t>Вътрешни врати за пешеходци със специфична предвидена употреба</w:t>
      </w:r>
    </w:p>
    <w:p w:rsidR="00C33FAC" w:rsidRPr="00C33FAC" w:rsidRDefault="00C33FAC" w:rsidP="00C33FAC">
      <w:pPr>
        <w:widowControl w:val="0"/>
        <w:autoSpaceDE w:val="0"/>
        <w:autoSpaceDN w:val="0"/>
        <w:adjustRightInd w:val="0"/>
        <w:spacing w:before="0" w:after="0" w:line="240" w:lineRule="auto"/>
        <w:ind w:firstLine="850"/>
        <w:jc w:val="both"/>
        <w:rPr>
          <w:highlight w:val="white"/>
          <w:shd w:val="clear" w:color="auto" w:fill="FEFEFE"/>
        </w:rPr>
      </w:pPr>
    </w:p>
    <w:p w:rsidR="00C33FAC" w:rsidRPr="00C33FAC" w:rsidRDefault="00C33FAC" w:rsidP="008E7B0F">
      <w:pPr>
        <w:widowControl w:val="0"/>
        <w:autoSpaceDE w:val="0"/>
        <w:autoSpaceDN w:val="0"/>
        <w:adjustRightInd w:val="0"/>
        <w:spacing w:before="0" w:after="0"/>
        <w:jc w:val="both"/>
        <w:rPr>
          <w:highlight w:val="white"/>
          <w:shd w:val="clear" w:color="auto" w:fill="FEFEFE"/>
        </w:rPr>
      </w:pPr>
      <w:r w:rsidRPr="00C33FAC">
        <w:rPr>
          <w:highlight w:val="white"/>
          <w:shd w:val="clear" w:color="auto" w:fill="FEFEFE"/>
        </w:rPr>
        <w:t>Определят се всички характеристики от таблица № 1, както и най-малко една от характеристиките дадени в таблица № 2, в зависимост от предвидената специфична употреба.</w:t>
      </w:r>
    </w:p>
    <w:p w:rsidR="00C33FAC" w:rsidRPr="00C33FAC" w:rsidRDefault="00C33FAC" w:rsidP="00C33FAC">
      <w:pPr>
        <w:widowControl w:val="0"/>
        <w:autoSpaceDE w:val="0"/>
        <w:autoSpaceDN w:val="0"/>
        <w:adjustRightInd w:val="0"/>
        <w:spacing w:before="0" w:after="0" w:line="240" w:lineRule="auto"/>
        <w:ind w:firstLine="850"/>
        <w:jc w:val="right"/>
        <w:rPr>
          <w:highlight w:val="white"/>
          <w:shd w:val="clear" w:color="auto" w:fill="FEFEFE"/>
        </w:rPr>
      </w:pPr>
      <w:r w:rsidRPr="00C33FAC">
        <w:rPr>
          <w:highlight w:val="white"/>
          <w:shd w:val="clear" w:color="auto" w:fill="FEFEFE"/>
        </w:rPr>
        <w:t>Таблица № 2</w:t>
      </w:r>
    </w:p>
    <w:tbl>
      <w:tblPr>
        <w:tblW w:w="963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1984"/>
        <w:gridCol w:w="1985"/>
        <w:gridCol w:w="2410"/>
      </w:tblGrid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bCs/>
                <w:sz w:val="20"/>
                <w:szCs w:val="20"/>
                <w:highlight w:val="white"/>
                <w:shd w:val="clear" w:color="auto" w:fill="FEFEFE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shd w:val="clear" w:color="auto" w:fill="FEFEFE"/>
              </w:rPr>
              <w:t xml:space="preserve">Начин на </w:t>
            </w:r>
            <w:r w:rsidRPr="00C33FAC">
              <w:rPr>
                <w:b/>
                <w:sz w:val="20"/>
                <w:szCs w:val="20"/>
                <w:shd w:val="clear" w:color="auto" w:fill="FEFEFE"/>
              </w:rPr>
              <w:lastRenderedPageBreak/>
              <w:t>деклариране на показателя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shd w:val="clear" w:color="auto" w:fill="FEFEFE"/>
              </w:rPr>
              <w:t>клас/ниво/описание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shd w:val="clear" w:color="auto" w:fill="FEFEFE"/>
              </w:rPr>
              <w:t>(единица мярка)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shd w:val="clear" w:color="auto" w:fill="FEFEFE"/>
              </w:rPr>
              <w:lastRenderedPageBreak/>
              <w:t xml:space="preserve">Метод за </w:t>
            </w:r>
            <w:r w:rsidRPr="00C33FAC">
              <w:rPr>
                <w:b/>
                <w:sz w:val="20"/>
                <w:szCs w:val="20"/>
                <w:shd w:val="clear" w:color="auto" w:fill="FEFEFE"/>
              </w:rPr>
              <w:lastRenderedPageBreak/>
              <w:t>изпитване/опреде-ляне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shd w:val="clear" w:color="auto" w:fill="FEFEFE"/>
              </w:rPr>
              <w:lastRenderedPageBreak/>
              <w:t xml:space="preserve">Изискване за </w:t>
            </w:r>
            <w:r w:rsidRPr="00C33FAC">
              <w:rPr>
                <w:b/>
                <w:sz w:val="20"/>
                <w:szCs w:val="20"/>
                <w:shd w:val="clear" w:color="auto" w:fill="FEFEFE"/>
              </w:rPr>
              <w:lastRenderedPageBreak/>
              <w:t>деклариране/гранично ниво</w:t>
            </w:r>
          </w:p>
        </w:tc>
      </w:tr>
      <w:tr w:rsidR="00C33FAC" w:rsidRPr="00C33FAC" w:rsidTr="002E0B04">
        <w:tc>
          <w:tcPr>
            <w:tcW w:w="9631" w:type="dxa"/>
            <w:gridSpan w:val="4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lastRenderedPageBreak/>
              <w:t>Механична якост: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- устойчивост на удар с меко и тежко тяло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C33FAC">
              <w:rPr>
                <w:rFonts w:eastAsiaTheme="minorEastAsia"/>
                <w:sz w:val="22"/>
                <w:szCs w:val="22"/>
              </w:rPr>
              <w:t>Клас (J)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949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Theme="minorEastAsia"/>
                <w:noProof/>
                <w:sz w:val="22"/>
                <w:szCs w:val="22"/>
              </w:rPr>
            </w:pPr>
            <w:r w:rsidRPr="00C33FAC">
              <w:rPr>
                <w:rFonts w:eastAsiaTheme="minorEastAsia"/>
                <w:noProof/>
                <w:sz w:val="22"/>
                <w:szCs w:val="22"/>
              </w:rPr>
              <w:t>деклариран клас по БДС EN 1192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- устойчивост на удар с твърдо тяло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C33FAC">
              <w:rPr>
                <w:rFonts w:eastAsiaTheme="minorEastAsia"/>
                <w:sz w:val="22"/>
                <w:szCs w:val="22"/>
              </w:rPr>
              <w:t>Клас (J)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950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Theme="minorEastAsia"/>
                <w:noProof/>
                <w:sz w:val="22"/>
                <w:szCs w:val="22"/>
              </w:rPr>
            </w:pPr>
            <w:r w:rsidRPr="00C33FAC">
              <w:rPr>
                <w:rFonts w:eastAsiaTheme="minorEastAsia"/>
                <w:noProof/>
                <w:sz w:val="22"/>
                <w:szCs w:val="22"/>
              </w:rPr>
              <w:t>деклариран клас по БДС EN 1192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Устойчивост на удар (само за остъклени врати с риск от нараняване):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- остъклени врати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- безрамкови стъклени врати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13049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Деклариран клас по </w:t>
            </w: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br/>
              <w:t xml:space="preserve">БДС </w:t>
            </w:r>
            <w:r w:rsidRPr="00C33FAC">
              <w:rPr>
                <w:sz w:val="20"/>
                <w:szCs w:val="20"/>
                <w:shd w:val="clear" w:color="auto" w:fill="FEFEFE"/>
              </w:rPr>
              <w:t>EN 13049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Индекс на изолация от директен въздушен шум (само за приложения, </w:t>
            </w:r>
            <w:r w:rsidRPr="00C33FAC">
              <w:rPr>
                <w:sz w:val="20"/>
                <w:szCs w:val="20"/>
                <w:shd w:val="clear" w:color="auto" w:fill="FEFEFE"/>
              </w:rPr>
              <w:t xml:space="preserve">които </w:t>
            </w: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изискват акустични характеристики)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Ниво (dB)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 xml:space="preserve">БДС EN ISO 10140-1 и 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ISO 10140-2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 xml:space="preserve">Декларирано ниво по </w:t>
            </w:r>
            <w:r w:rsidRPr="00C33FAC">
              <w:rPr>
                <w:sz w:val="20"/>
                <w:szCs w:val="20"/>
                <w:shd w:val="clear" w:color="auto" w:fill="FEFEFE"/>
              </w:rPr>
              <w:br/>
              <w:t>БДС EN ISO 717-1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Сили за задвижване (само за врати с автоматични устройства, вътрешни комуникационни врати на площадки и врати за специални приложения със специфични изисквания) 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Гранично ниво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16005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Декларирано гранично ниво по БДС EN 16005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Сили за ръчно задвижване 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Клас (N, N.m)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12046-2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 xml:space="preserve">Деклариран клас по </w:t>
            </w:r>
            <w:r w:rsidRPr="00C33FAC">
              <w:rPr>
                <w:sz w:val="20"/>
                <w:szCs w:val="20"/>
                <w:shd w:val="clear" w:color="auto" w:fill="FEFEFE"/>
              </w:rPr>
              <w:br/>
              <w:t>БДС EN 12217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Коефициент на топлопреминаване (само за врати с приложения</w:t>
            </w:r>
            <w:r w:rsidRPr="00C33FAC">
              <w:rPr>
                <w:sz w:val="20"/>
                <w:szCs w:val="20"/>
                <w:shd w:val="clear" w:color="auto" w:fill="FEFEFE"/>
              </w:rPr>
              <w:t xml:space="preserve">, които изискват характеристиката </w:t>
            </w: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топлоизолация) 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Ниво </w:t>
            </w:r>
            <w:r w:rsidRPr="00C33FAC">
              <w:rPr>
                <w:sz w:val="20"/>
                <w:szCs w:val="20"/>
                <w:shd w:val="clear" w:color="auto" w:fill="FEFEFE"/>
              </w:rPr>
              <w:t>U</w:t>
            </w:r>
            <w:r w:rsidRPr="00C33FAC">
              <w:rPr>
                <w:sz w:val="20"/>
                <w:szCs w:val="20"/>
                <w:shd w:val="clear" w:color="auto" w:fill="FEFEFE"/>
                <w:vertAlign w:val="subscript"/>
              </w:rPr>
              <w:t>D</w:t>
            </w:r>
            <w:r w:rsidRPr="00C33FAC">
              <w:rPr>
                <w:sz w:val="20"/>
                <w:szCs w:val="20"/>
                <w:shd w:val="clear" w:color="auto" w:fill="FEFEFE"/>
              </w:rPr>
              <w:t>(Ust),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W/(m</w:t>
            </w:r>
            <w:r w:rsidRPr="00C33FAC">
              <w:rPr>
                <w:sz w:val="20"/>
                <w:szCs w:val="20"/>
                <w:shd w:val="clear" w:color="auto" w:fill="FEFEFE"/>
                <w:vertAlign w:val="superscript"/>
              </w:rPr>
              <w:t>2</w:t>
            </w:r>
            <w:r w:rsidRPr="00C33FAC">
              <w:rPr>
                <w:sz w:val="20"/>
                <w:szCs w:val="20"/>
                <w:shd w:val="clear" w:color="auto" w:fill="FEFEFE"/>
              </w:rPr>
              <w:t>.K)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ISO 12567-1 или с един от методите дадени в т. 5.8.2 и 5.8.3 от БДС EN 14351-2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Гранично ниво ≤ 3,5</w:t>
            </w:r>
            <w:r w:rsidRPr="00C33FAC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Въздухопроницаемост (само за приложения, </w:t>
            </w:r>
            <w:r w:rsidRPr="00C33FAC">
              <w:rPr>
                <w:sz w:val="20"/>
                <w:szCs w:val="20"/>
                <w:shd w:val="clear" w:color="auto" w:fill="FEFEFE"/>
              </w:rPr>
              <w:t xml:space="preserve">които изискват тази характеристика) 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Клас 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1026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Деклариран клас по БДС </w:t>
            </w:r>
            <w:r w:rsidRPr="00C33FAC">
              <w:rPr>
                <w:sz w:val="20"/>
                <w:szCs w:val="20"/>
                <w:shd w:val="clear" w:color="auto" w:fill="FEFEFE"/>
              </w:rPr>
              <w:t>EN 12207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Поведение между две различни климатични условия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Резултат или използвана ориентация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1121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Деклариран резултат или използвана ориентация по БДС EN 12219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Устойчивост на повтарящо се отваряне и затваряне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Клас (брой цикли)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1191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 xml:space="preserve">Деклариран клас по </w:t>
            </w:r>
            <w:r w:rsidRPr="00C33FAC">
              <w:rPr>
                <w:sz w:val="20"/>
                <w:szCs w:val="20"/>
                <w:shd w:val="clear" w:color="auto" w:fill="FEFEFE"/>
              </w:rPr>
              <w:br/>
              <w:t>БДС EN 12400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Устойчивост срещу взлом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Клас 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 xml:space="preserve">БДС EN 1628, </w:t>
            </w:r>
            <w:r w:rsidRPr="00C33FAC">
              <w:rPr>
                <w:sz w:val="20"/>
                <w:szCs w:val="20"/>
                <w:shd w:val="clear" w:color="auto" w:fill="FEFEFE"/>
              </w:rPr>
              <w:br/>
              <w:t xml:space="preserve">БДС EN 1629 и </w:t>
            </w:r>
            <w:r w:rsidRPr="00C33FAC">
              <w:rPr>
                <w:sz w:val="20"/>
                <w:szCs w:val="20"/>
                <w:shd w:val="clear" w:color="auto" w:fill="FEFEFE"/>
              </w:rPr>
              <w:br/>
              <w:t>БДС EN 1630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Граничен клас -минимум клас 3 по БДС EN 1627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Устойчивост на куршум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Клас 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1523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Деклариран клас по БДС EN 1522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Устойчивост на взривяване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Класификационен код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13124-1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Деклариран класификационен код по БДС EN 13123-1</w:t>
            </w:r>
          </w:p>
        </w:tc>
      </w:tr>
      <w:tr w:rsidR="00C33FAC" w:rsidRPr="00C33FAC" w:rsidTr="002E0B04">
        <w:tc>
          <w:tcPr>
            <w:tcW w:w="3252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 xml:space="preserve">Възможност за деблокиране (за отваряне) (само за заключващи се врати на евакуационни изходи) </w:t>
            </w:r>
          </w:p>
        </w:tc>
        <w:tc>
          <w:tcPr>
            <w:tcW w:w="1984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Отваря се/не се отваря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или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>Отваря се и брой цикли</w:t>
            </w:r>
          </w:p>
        </w:tc>
        <w:tc>
          <w:tcPr>
            <w:tcW w:w="1985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 xml:space="preserve">Използване на строителен обков отговарящ на БДС EN 179, БДС EN 1125, БДС EN 1935, БДС EN 1154 или БДС EN 13637. Ако пантите не са в </w:t>
            </w:r>
            <w:r w:rsidRPr="00C33FAC">
              <w:rPr>
                <w:sz w:val="20"/>
                <w:szCs w:val="20"/>
                <w:shd w:val="clear" w:color="auto" w:fill="FEFEFE"/>
              </w:rPr>
              <w:lastRenderedPageBreak/>
              <w:t>обхвата на тези стандарти, вратата се изпитва съгласно БДС EN 1191</w:t>
            </w:r>
          </w:p>
        </w:tc>
        <w:tc>
          <w:tcPr>
            <w:tcW w:w="2410" w:type="dxa"/>
            <w:vAlign w:val="center"/>
          </w:tcPr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lastRenderedPageBreak/>
              <w:t>Отваря се</w:t>
            </w: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33FAC" w:rsidRPr="00C33FAC" w:rsidRDefault="00C33FAC" w:rsidP="00C33FA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sz w:val="20"/>
                <w:szCs w:val="20"/>
                <w:highlight w:val="white"/>
                <w:shd w:val="clear" w:color="auto" w:fill="FEFEFE"/>
              </w:rPr>
              <w:t xml:space="preserve">При изпитване по </w:t>
            </w:r>
            <w:r w:rsidRPr="00C33FAC">
              <w:rPr>
                <w:sz w:val="20"/>
                <w:szCs w:val="20"/>
                <w:shd w:val="clear" w:color="auto" w:fill="FEFEFE"/>
              </w:rPr>
              <w:t xml:space="preserve">БДС EN 1191, резултатът (отваря се) се допълва с броя цикли, съгласно </w:t>
            </w:r>
            <w:r w:rsidRPr="00C33FAC">
              <w:rPr>
                <w:sz w:val="20"/>
                <w:szCs w:val="20"/>
                <w:shd w:val="clear" w:color="auto" w:fill="FEFEFE"/>
              </w:rPr>
              <w:lastRenderedPageBreak/>
              <w:t>Таблица 1 от БДС EN 12400</w:t>
            </w:r>
          </w:p>
        </w:tc>
      </w:tr>
    </w:tbl>
    <w:p w:rsidR="00C33FAC" w:rsidRDefault="00C33FAC" w:rsidP="00C33FAC">
      <w:pPr>
        <w:widowControl w:val="0"/>
        <w:autoSpaceDE w:val="0"/>
        <w:autoSpaceDN w:val="0"/>
        <w:adjustRightInd w:val="0"/>
        <w:spacing w:before="0" w:after="0" w:line="240" w:lineRule="auto"/>
        <w:ind w:firstLine="850"/>
        <w:jc w:val="both"/>
        <w:rPr>
          <w:highlight w:val="white"/>
          <w:shd w:val="clear" w:color="auto" w:fill="FEFEFE"/>
        </w:rPr>
      </w:pPr>
    </w:p>
    <w:p w:rsidR="008E7B0F" w:rsidRPr="00C33FAC" w:rsidRDefault="008E7B0F" w:rsidP="008E7B0F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b/>
          <w:highlight w:val="white"/>
          <w:shd w:val="clear" w:color="auto" w:fill="FEFEFE"/>
        </w:rPr>
      </w:pPr>
      <w:r w:rsidRPr="00C33FAC">
        <w:rPr>
          <w:b/>
          <w:highlight w:val="white"/>
          <w:shd w:val="clear" w:color="auto" w:fill="FEFEFE"/>
        </w:rPr>
        <w:t xml:space="preserve">5.3. </w:t>
      </w:r>
      <w:r w:rsidRPr="00C33FAC">
        <w:rPr>
          <w:b/>
          <w:highlight w:val="white"/>
          <w:shd w:val="clear" w:color="auto" w:fill="FEFEFE"/>
        </w:rPr>
        <w:tab/>
        <w:t xml:space="preserve">Вътрешни врати за пешеходци устойчиви на огън и/или за управление на дим </w:t>
      </w:r>
    </w:p>
    <w:p w:rsidR="008E7B0F" w:rsidRPr="00C33FAC" w:rsidRDefault="008E7B0F" w:rsidP="00C73F32">
      <w:pPr>
        <w:widowControl w:val="0"/>
        <w:autoSpaceDE w:val="0"/>
        <w:autoSpaceDN w:val="0"/>
        <w:adjustRightInd w:val="0"/>
        <w:spacing w:before="0" w:after="0"/>
        <w:ind w:firstLine="850"/>
        <w:jc w:val="both"/>
        <w:rPr>
          <w:highlight w:val="white"/>
          <w:shd w:val="clear" w:color="auto" w:fill="FEFEFE"/>
        </w:rPr>
      </w:pPr>
      <w:r w:rsidRPr="00C33FAC">
        <w:rPr>
          <w:highlight w:val="white"/>
          <w:shd w:val="clear" w:color="auto" w:fill="FEFEFE"/>
        </w:rPr>
        <w:t>Определят се всички характеристики от таблица № 1, характеристики от таблица № 2</w:t>
      </w:r>
      <w:r w:rsidRPr="00C33FAC">
        <w:rPr>
          <w:shd w:val="clear" w:color="auto" w:fill="FEFEFE"/>
        </w:rPr>
        <w:t xml:space="preserve"> при предвидена специфична употреба, както и най-малко една от характеристиките дадени в таблица № 3, в </w:t>
      </w:r>
      <w:r w:rsidRPr="00C33FAC">
        <w:rPr>
          <w:highlight w:val="white"/>
          <w:shd w:val="clear" w:color="auto" w:fill="FEFEFE"/>
        </w:rPr>
        <w:t>зависимост от предвидената употреба,</w:t>
      </w:r>
      <w:r w:rsidR="00C73F32">
        <w:rPr>
          <w:highlight w:val="white"/>
          <w:shd w:val="clear" w:color="auto" w:fill="FEFEFE"/>
        </w:rPr>
        <w:t xml:space="preserve"> </w:t>
      </w:r>
      <w:r w:rsidRPr="00C33FAC">
        <w:rPr>
          <w:highlight w:val="white"/>
          <w:shd w:val="clear" w:color="auto" w:fill="FEFEFE"/>
        </w:rPr>
        <w:t>съгласно Наредба Iз-1971</w:t>
      </w:r>
      <w:r w:rsidRPr="00C33FAC">
        <w:rPr>
          <w:rFonts w:eastAsiaTheme="minorEastAsia"/>
          <w:sz w:val="20"/>
          <w:szCs w:val="20"/>
        </w:rPr>
        <w:t xml:space="preserve"> </w:t>
      </w:r>
      <w:r w:rsidRPr="00C33FAC">
        <w:rPr>
          <w:shd w:val="clear" w:color="auto" w:fill="FEFEFE"/>
        </w:rPr>
        <w:t>от 29.10.2009 г. за строително-технически правила и норми за осигуряване на безопасност при пожар (ДВ, бр. 96 от 04.12.2009 г.).</w:t>
      </w:r>
    </w:p>
    <w:p w:rsidR="008E7B0F" w:rsidRPr="00C33FAC" w:rsidRDefault="008E7B0F" w:rsidP="008E7B0F">
      <w:pPr>
        <w:widowControl w:val="0"/>
        <w:autoSpaceDE w:val="0"/>
        <w:autoSpaceDN w:val="0"/>
        <w:adjustRightInd w:val="0"/>
        <w:spacing w:before="0" w:after="0" w:line="240" w:lineRule="auto"/>
        <w:ind w:firstLine="850"/>
        <w:jc w:val="right"/>
        <w:rPr>
          <w:highlight w:val="white"/>
          <w:shd w:val="clear" w:color="auto" w:fill="FEFEFE"/>
        </w:rPr>
      </w:pPr>
    </w:p>
    <w:p w:rsidR="008E7B0F" w:rsidRPr="00C33FAC" w:rsidRDefault="008E7B0F" w:rsidP="008E7B0F">
      <w:pPr>
        <w:widowControl w:val="0"/>
        <w:autoSpaceDE w:val="0"/>
        <w:autoSpaceDN w:val="0"/>
        <w:adjustRightInd w:val="0"/>
        <w:spacing w:before="0" w:after="0" w:line="240" w:lineRule="auto"/>
        <w:ind w:firstLine="850"/>
        <w:jc w:val="right"/>
        <w:rPr>
          <w:highlight w:val="white"/>
          <w:shd w:val="clear" w:color="auto" w:fill="FEFEFE"/>
        </w:rPr>
      </w:pPr>
      <w:r w:rsidRPr="00C33FAC">
        <w:rPr>
          <w:highlight w:val="white"/>
          <w:shd w:val="clear" w:color="auto" w:fill="FEFEFE"/>
        </w:rPr>
        <w:t>Таблица № 3</w:t>
      </w:r>
    </w:p>
    <w:tbl>
      <w:tblPr>
        <w:tblW w:w="963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1984"/>
        <w:gridCol w:w="1985"/>
        <w:gridCol w:w="2410"/>
      </w:tblGrid>
      <w:tr w:rsidR="008E7B0F" w:rsidRPr="00C33FAC" w:rsidTr="00331C84">
        <w:tc>
          <w:tcPr>
            <w:tcW w:w="3252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bCs/>
                <w:sz w:val="20"/>
                <w:szCs w:val="20"/>
                <w:highlight w:val="white"/>
                <w:shd w:val="clear" w:color="auto" w:fill="FEFEFE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shd w:val="clear" w:color="auto" w:fill="FEFEFE"/>
              </w:rPr>
              <w:t>Начин на деклариране на показателя</w:t>
            </w:r>
          </w:p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shd w:val="clear" w:color="auto" w:fill="FEFEFE"/>
              </w:rPr>
              <w:t>клас/ниво/описание</w:t>
            </w:r>
          </w:p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shd w:val="clear" w:color="auto" w:fill="FEFEFE"/>
              </w:rPr>
              <w:t>(единица мярка)</w:t>
            </w:r>
          </w:p>
        </w:tc>
        <w:tc>
          <w:tcPr>
            <w:tcW w:w="1985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shd w:val="clear" w:color="auto" w:fill="FEFEFE"/>
              </w:rPr>
              <w:t>Метод за изпитване/определяне</w:t>
            </w:r>
          </w:p>
        </w:tc>
        <w:tc>
          <w:tcPr>
            <w:tcW w:w="2410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highlight w:val="white"/>
                <w:shd w:val="clear" w:color="auto" w:fill="FEFEFE"/>
              </w:rPr>
            </w:pPr>
            <w:r w:rsidRPr="00C33FAC">
              <w:rPr>
                <w:b/>
                <w:sz w:val="20"/>
                <w:szCs w:val="20"/>
                <w:shd w:val="clear" w:color="auto" w:fill="FEFEFE"/>
              </w:rPr>
              <w:t>Изискване за деклариране/гранично ниво</w:t>
            </w:r>
          </w:p>
        </w:tc>
      </w:tr>
      <w:tr w:rsidR="008E7B0F" w:rsidRPr="00C33FAC" w:rsidTr="00331C84">
        <w:tc>
          <w:tcPr>
            <w:tcW w:w="3252" w:type="dxa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Устойчивост на огън (използване за преграждане срещу огън)</w:t>
            </w:r>
          </w:p>
        </w:tc>
        <w:tc>
          <w:tcPr>
            <w:tcW w:w="1984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клас</w:t>
            </w:r>
          </w:p>
        </w:tc>
        <w:tc>
          <w:tcPr>
            <w:tcW w:w="1985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1634-1</w:t>
            </w:r>
          </w:p>
        </w:tc>
        <w:tc>
          <w:tcPr>
            <w:tcW w:w="2410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Деклариран клас Е, EI</w:t>
            </w:r>
            <w:r w:rsidRPr="00C33FAC">
              <w:rPr>
                <w:sz w:val="20"/>
                <w:szCs w:val="20"/>
                <w:shd w:val="clear" w:color="auto" w:fill="FEFEFE"/>
                <w:vertAlign w:val="subscript"/>
              </w:rPr>
              <w:t>1</w:t>
            </w:r>
            <w:r w:rsidRPr="00C33FAC">
              <w:rPr>
                <w:sz w:val="20"/>
                <w:szCs w:val="20"/>
                <w:shd w:val="clear" w:color="auto" w:fill="FEFEFE"/>
              </w:rPr>
              <w:t xml:space="preserve"> и/или EI</w:t>
            </w:r>
            <w:r w:rsidRPr="00C33FAC">
              <w:rPr>
                <w:sz w:val="20"/>
                <w:szCs w:val="20"/>
                <w:shd w:val="clear" w:color="auto" w:fill="FEFEFE"/>
                <w:vertAlign w:val="subscript"/>
              </w:rPr>
              <w:t>2</w:t>
            </w:r>
            <w:r w:rsidRPr="00C33FAC">
              <w:rPr>
                <w:sz w:val="20"/>
                <w:szCs w:val="20"/>
                <w:shd w:val="clear" w:color="auto" w:fill="FEFEFE"/>
              </w:rPr>
              <w:t xml:space="preserve"> по БДС EN 13501-2*</w:t>
            </w:r>
          </w:p>
        </w:tc>
      </w:tr>
      <w:tr w:rsidR="008E7B0F" w:rsidRPr="00C33FAC" w:rsidTr="00331C84">
        <w:tc>
          <w:tcPr>
            <w:tcW w:w="3252" w:type="dxa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Управление на дим (само за употреба при изискване за контрол на разпространението на дима)</w:t>
            </w:r>
          </w:p>
        </w:tc>
        <w:tc>
          <w:tcPr>
            <w:tcW w:w="1984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клас</w:t>
            </w:r>
          </w:p>
        </w:tc>
        <w:tc>
          <w:tcPr>
            <w:tcW w:w="1985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</w:t>
            </w:r>
            <w:r w:rsidRPr="00C33FAC">
              <w:rPr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Pr="00C33FAC">
              <w:rPr>
                <w:sz w:val="20"/>
                <w:szCs w:val="20"/>
                <w:shd w:val="clear" w:color="auto" w:fill="FEFEFE"/>
              </w:rPr>
              <w:t>1634-3</w:t>
            </w:r>
          </w:p>
        </w:tc>
        <w:tc>
          <w:tcPr>
            <w:tcW w:w="2410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Деклариран клас S</w:t>
            </w:r>
            <w:r w:rsidRPr="00C33FAC">
              <w:rPr>
                <w:sz w:val="20"/>
                <w:szCs w:val="20"/>
                <w:shd w:val="clear" w:color="auto" w:fill="FEFEFE"/>
                <w:vertAlign w:val="subscript"/>
              </w:rPr>
              <w:t>200</w:t>
            </w:r>
            <w:r w:rsidRPr="00C33FAC">
              <w:rPr>
                <w:sz w:val="20"/>
                <w:szCs w:val="20"/>
                <w:shd w:val="clear" w:color="auto" w:fill="FEFEFE"/>
              </w:rPr>
              <w:t xml:space="preserve"> или S</w:t>
            </w:r>
            <w:r w:rsidRPr="00C33FAC">
              <w:rPr>
                <w:sz w:val="20"/>
                <w:szCs w:val="20"/>
                <w:shd w:val="clear" w:color="auto" w:fill="FEFEFE"/>
                <w:vertAlign w:val="subscript"/>
              </w:rPr>
              <w:t>а</w:t>
            </w:r>
            <w:r w:rsidRPr="00C33FAC">
              <w:rPr>
                <w:sz w:val="20"/>
                <w:szCs w:val="20"/>
                <w:shd w:val="clear" w:color="auto" w:fill="FEFEFE"/>
              </w:rPr>
              <w:t xml:space="preserve"> по БДС EN 13501-2</w:t>
            </w:r>
          </w:p>
        </w:tc>
      </w:tr>
      <w:tr w:rsidR="008E7B0F" w:rsidRPr="00C33FAC" w:rsidTr="00331C84">
        <w:tc>
          <w:tcPr>
            <w:tcW w:w="3252" w:type="dxa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Самозатваряне (само за самозатварящи се врати за пешеходци и/или отваряеми прозорци устойчиви на огън и/или за управление на дим)</w:t>
            </w:r>
          </w:p>
        </w:tc>
        <w:tc>
          <w:tcPr>
            <w:tcW w:w="1984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shd w:val="clear" w:color="auto" w:fill="FEFEFE"/>
              </w:rPr>
            </w:pPr>
          </w:p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клас</w:t>
            </w:r>
          </w:p>
        </w:tc>
        <w:tc>
          <w:tcPr>
            <w:tcW w:w="1985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БДС EN 1191</w:t>
            </w:r>
          </w:p>
        </w:tc>
        <w:tc>
          <w:tcPr>
            <w:tcW w:w="2410" w:type="dxa"/>
            <w:vAlign w:val="center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Деклариран клас С по БДС EN 13501-2.</w:t>
            </w:r>
          </w:p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Може да се допълни с числата от 0 до 5 по Таблица №1 от БДС EN 16034</w:t>
            </w:r>
          </w:p>
        </w:tc>
      </w:tr>
      <w:tr w:rsidR="008E7B0F" w:rsidRPr="00C33FAC" w:rsidTr="00331C84">
        <w:tc>
          <w:tcPr>
            <w:tcW w:w="9631" w:type="dxa"/>
            <w:gridSpan w:val="4"/>
          </w:tcPr>
          <w:p w:rsidR="008E7B0F" w:rsidRPr="00C33FAC" w:rsidRDefault="008E7B0F" w:rsidP="00331C8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 w:val="20"/>
                <w:szCs w:val="20"/>
                <w:shd w:val="clear" w:color="auto" w:fill="FEFEFE"/>
              </w:rPr>
            </w:pPr>
            <w:r w:rsidRPr="00C33FAC">
              <w:rPr>
                <w:sz w:val="20"/>
                <w:szCs w:val="20"/>
                <w:shd w:val="clear" w:color="auto" w:fill="FEFEFE"/>
              </w:rPr>
              <w:t>* Към декларирания клас се включва информация за посоката на огневото въздействие, при която е направена класификацията (</w:t>
            </w:r>
            <w:r w:rsidRPr="00C33FAC">
              <w:rPr>
                <w:i/>
                <w:iCs/>
                <w:sz w:val="20"/>
                <w:szCs w:val="20"/>
                <w:shd w:val="clear" w:color="auto" w:fill="FEFEFE"/>
              </w:rPr>
              <w:t>„двустранно“, „едностранно – при отваряне на вратата навътре към огневото въздействие“ или „едностранно – при отваряне на вратата навън от огневото въздействие“</w:t>
            </w:r>
            <w:r w:rsidRPr="00C33FAC">
              <w:rPr>
                <w:sz w:val="20"/>
                <w:szCs w:val="20"/>
                <w:shd w:val="clear" w:color="auto" w:fill="FEFEFE"/>
              </w:rPr>
              <w:t>)</w:t>
            </w:r>
          </w:p>
        </w:tc>
      </w:tr>
    </w:tbl>
    <w:p w:rsidR="008E7B0F" w:rsidRDefault="008E7B0F" w:rsidP="008E7B0F">
      <w:pPr>
        <w:ind w:firstLine="709"/>
        <w:jc w:val="both"/>
      </w:pPr>
      <w:r>
        <w:t>“</w:t>
      </w:r>
    </w:p>
    <w:p w:rsidR="00057FF6" w:rsidRDefault="00057FF6" w:rsidP="008E7B0F">
      <w:pPr>
        <w:ind w:firstLine="709"/>
        <w:jc w:val="both"/>
        <w:rPr>
          <w:color w:val="000000"/>
        </w:rPr>
      </w:pPr>
      <w:r w:rsidRPr="00AD775F">
        <w:rPr>
          <w:color w:val="000000"/>
        </w:rPr>
        <w:t>5</w:t>
      </w:r>
      <w:r w:rsidRPr="00057FF6">
        <w:rPr>
          <w:color w:val="000000"/>
        </w:rPr>
        <w:t>.</w:t>
      </w:r>
      <w:r w:rsidRPr="00AD775F">
        <w:rPr>
          <w:color w:val="000000"/>
        </w:rPr>
        <w:t>2</w:t>
      </w:r>
      <w:r w:rsidRPr="00057FF6">
        <w:rPr>
          <w:color w:val="000000"/>
        </w:rPr>
        <w:t xml:space="preserve">. Заличава се точка </w:t>
      </w:r>
      <w:r w:rsidRPr="00AD775F">
        <w:rPr>
          <w:color w:val="000000"/>
        </w:rPr>
        <w:t>6.9</w:t>
      </w:r>
      <w:r w:rsidRPr="00057FF6">
        <w:rPr>
          <w:color w:val="000000"/>
        </w:rPr>
        <w:t>.</w:t>
      </w:r>
    </w:p>
    <w:p w:rsidR="00C33FAC" w:rsidRPr="00C33FAC" w:rsidRDefault="00C33FAC" w:rsidP="00C33FAC">
      <w:pPr>
        <w:widowControl w:val="0"/>
        <w:autoSpaceDE w:val="0"/>
        <w:autoSpaceDN w:val="0"/>
        <w:adjustRightInd w:val="0"/>
        <w:spacing w:before="0" w:after="0" w:line="240" w:lineRule="auto"/>
        <w:ind w:firstLine="850"/>
        <w:jc w:val="both"/>
        <w:rPr>
          <w:highlight w:val="white"/>
          <w:shd w:val="clear" w:color="auto" w:fill="FEFEFE"/>
        </w:rPr>
      </w:pPr>
    </w:p>
    <w:p w:rsidR="00847255" w:rsidRPr="00036902" w:rsidRDefault="00847255" w:rsidP="00CE458A">
      <w:pPr>
        <w:spacing w:before="0" w:after="0"/>
        <w:ind w:firstLine="709"/>
        <w:jc w:val="both"/>
        <w:sectPr w:rsidR="00847255" w:rsidRPr="00036902" w:rsidSect="0026490C">
          <w:headerReference w:type="default" r:id="rId7"/>
          <w:footerReference w:type="default" r:id="rId8"/>
          <w:headerReference w:type="first" r:id="rId9"/>
          <w:pgSz w:w="11906" w:h="16838" w:code="9"/>
          <w:pgMar w:top="1444" w:right="1134" w:bottom="567" w:left="1701" w:header="1134" w:footer="567" w:gutter="0"/>
          <w:pgNumType w:start="1"/>
          <w:cols w:space="708"/>
          <w:titlePg/>
          <w:docGrid w:linePitch="360"/>
        </w:sectPr>
      </w:pPr>
    </w:p>
    <w:p w:rsidR="00A8030E" w:rsidRDefault="00A8030E" w:rsidP="00A8030E">
      <w:pPr>
        <w:ind w:firstLine="709"/>
        <w:jc w:val="both"/>
        <w:rPr>
          <w:color w:val="000000"/>
        </w:rPr>
      </w:pPr>
      <w:r w:rsidRPr="002F7514">
        <w:rPr>
          <w:color w:val="000000"/>
        </w:rPr>
        <w:lastRenderedPageBreak/>
        <w:t xml:space="preserve">Заповедта да се </w:t>
      </w:r>
      <w:r w:rsidR="00766A37" w:rsidRPr="00766A37">
        <w:rPr>
          <w:color w:val="000000"/>
        </w:rPr>
        <w:t xml:space="preserve">обнародва в „Държавен вестник“ и да </w:t>
      </w:r>
      <w:r w:rsidR="00766A37">
        <w:rPr>
          <w:color w:val="000000"/>
        </w:rPr>
        <w:t xml:space="preserve">се </w:t>
      </w:r>
      <w:r w:rsidRPr="002F7514">
        <w:rPr>
          <w:color w:val="000000"/>
        </w:rPr>
        <w:t>публикува на електронната страница на Министерството на регионалното развитие и благоустройството.</w:t>
      </w:r>
    </w:p>
    <w:p w:rsidR="00766A37" w:rsidRPr="002F7514" w:rsidRDefault="00766A37" w:rsidP="00A8030E">
      <w:pPr>
        <w:ind w:firstLine="709"/>
        <w:jc w:val="both"/>
        <w:rPr>
          <w:color w:val="000000"/>
        </w:rPr>
      </w:pPr>
      <w:r w:rsidRPr="00766A37">
        <w:rPr>
          <w:color w:val="000000"/>
        </w:rPr>
        <w:t>Заповедта влиза в сила от дата на обнародването ѝ в „Държавен вестник“.</w:t>
      </w:r>
    </w:p>
    <w:p w:rsidR="00A8030E" w:rsidRPr="002F7514" w:rsidRDefault="00A8030E" w:rsidP="00A8030E">
      <w:pPr>
        <w:spacing w:before="0" w:after="0"/>
        <w:ind w:firstLine="709"/>
        <w:jc w:val="both"/>
      </w:pPr>
      <w:r w:rsidRPr="002F7514">
        <w:rPr>
          <w:color w:val="000000"/>
        </w:rPr>
        <w:t>Контрола по изпълнение на заповедта възлагам</w:t>
      </w:r>
      <w:r w:rsidRPr="002F7514">
        <w:t xml:space="preserve"> на </w:t>
      </w:r>
      <w:r w:rsidR="00806573" w:rsidRPr="00806573">
        <w:t>г-жа Катерина Граматикова – началник на политическия кабинет на Министерство на регионалното развитие и благоустройството</w:t>
      </w:r>
      <w:r w:rsidRPr="002F7514">
        <w:t>.</w:t>
      </w:r>
    </w:p>
    <w:p w:rsidR="008E7B0F" w:rsidRDefault="008E7B0F" w:rsidP="008E7B0F">
      <w:pPr>
        <w:spacing w:line="480" w:lineRule="auto"/>
        <w:ind w:left="4478" w:firstLine="485"/>
        <w:rPr>
          <w:b/>
        </w:rPr>
      </w:pPr>
      <w:r w:rsidRPr="00AD775F">
        <w:rPr>
          <w:b/>
        </w:rPr>
        <w:t xml:space="preserve">ЗАМЕСТНИК </w:t>
      </w:r>
      <w:r w:rsidRPr="008373A4">
        <w:rPr>
          <w:b/>
        </w:rPr>
        <w:t>МИНИСТЪР</w:t>
      </w:r>
      <w:r>
        <w:rPr>
          <w:b/>
        </w:rPr>
        <w:t>-</w:t>
      </w:r>
    </w:p>
    <w:p w:rsidR="008E7B0F" w:rsidRDefault="008E7B0F" w:rsidP="008E7B0F">
      <w:pPr>
        <w:spacing w:line="480" w:lineRule="auto"/>
        <w:ind w:left="4478" w:firstLine="485"/>
        <w:rPr>
          <w:b/>
        </w:rPr>
      </w:pPr>
      <w:r>
        <w:rPr>
          <w:b/>
        </w:rPr>
        <w:t xml:space="preserve">ПРЕДСЕДАТЕЛ И </w:t>
      </w:r>
    </w:p>
    <w:p w:rsidR="008E7B0F" w:rsidRPr="00CC5AC8" w:rsidRDefault="008E7B0F" w:rsidP="008E7B0F">
      <w:pPr>
        <w:spacing w:line="480" w:lineRule="auto"/>
        <w:ind w:left="4478" w:firstLine="485"/>
      </w:pPr>
      <w:r>
        <w:rPr>
          <w:b/>
        </w:rPr>
        <w:t xml:space="preserve">МИНИСТЪР: </w:t>
      </w:r>
    </w:p>
    <w:p w:rsidR="001204BF" w:rsidRPr="00036902" w:rsidRDefault="004B6502" w:rsidP="004B6502">
      <w:pPr>
        <w:spacing w:line="480" w:lineRule="auto"/>
        <w:ind w:left="5530"/>
        <w:rPr>
          <w:b/>
        </w:rPr>
      </w:pPr>
      <w:r>
        <w:rPr>
          <w:b/>
        </w:rPr>
        <w:t>ГРОЗДАН КАРАДЖОВ</w:t>
      </w:r>
    </w:p>
    <w:p w:rsidR="00497E32" w:rsidRPr="00036902" w:rsidRDefault="00DA1ADD" w:rsidP="00266300">
      <w:pPr>
        <w:spacing w:line="480" w:lineRule="auto"/>
        <w:ind w:firstLine="0"/>
        <w:rPr>
          <w:b/>
        </w:rPr>
      </w:pPr>
      <w:r w:rsidRPr="00DA1ADD">
        <w:rPr>
          <w:b/>
        </w:rPr>
        <w:t>Формат на електронен подпис: .p7s</w:t>
      </w:r>
    </w:p>
    <w:sectPr w:rsidR="00497E32" w:rsidRPr="00036902" w:rsidSect="00776B70">
      <w:footerReference w:type="default" r:id="rId10"/>
      <w:footerReference w:type="first" r:id="rId11"/>
      <w:pgSz w:w="11906" w:h="16838" w:code="9"/>
      <w:pgMar w:top="1444" w:right="1134" w:bottom="567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0C" w:rsidRDefault="006A420C">
      <w:r>
        <w:separator/>
      </w:r>
    </w:p>
  </w:endnote>
  <w:endnote w:type="continuationSeparator" w:id="0">
    <w:p w:rsidR="006A420C" w:rsidRDefault="006A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charset w:val="00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451404"/>
      <w:docPartObj>
        <w:docPartGallery w:val="Page Numbers (Bottom of Page)"/>
        <w:docPartUnique/>
      </w:docPartObj>
    </w:sdtPr>
    <w:sdtEndPr/>
    <w:sdtContent>
      <w:sdt>
        <w:sdtPr>
          <w:id w:val="432471232"/>
          <w:docPartObj>
            <w:docPartGallery w:val="Page Numbers (Top of Page)"/>
            <w:docPartUnique/>
          </w:docPartObj>
        </w:sdtPr>
        <w:sdtEndPr/>
        <w:sdtContent>
          <w:p w:rsidR="00452BC1" w:rsidRDefault="00452BC1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D775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D775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452BC1" w:rsidRPr="00AA5D71" w:rsidRDefault="00452BC1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5D71">
              <w:rPr>
                <w:sz w:val="20"/>
                <w:szCs w:val="20"/>
              </w:rPr>
              <w:t xml:space="preserve">гр. София, ул. </w:t>
            </w:r>
            <w:r w:rsidRPr="00AA5D71">
              <w:rPr>
                <w:sz w:val="20"/>
                <w:szCs w:val="20"/>
                <w:lang w:val="en-US"/>
              </w:rPr>
              <w:t>„</w:t>
            </w:r>
            <w:r w:rsidRPr="00AA5D71">
              <w:rPr>
                <w:sz w:val="20"/>
                <w:szCs w:val="20"/>
              </w:rPr>
              <w:t>Св.</w:t>
            </w:r>
            <w:r w:rsidRPr="00AA5D71">
              <w:rPr>
                <w:sz w:val="20"/>
                <w:szCs w:val="20"/>
                <w:lang w:val="en-US"/>
              </w:rPr>
              <w:t xml:space="preserve"> </w:t>
            </w:r>
            <w:r w:rsidRPr="00AA5D71">
              <w:rPr>
                <w:sz w:val="20"/>
                <w:szCs w:val="20"/>
              </w:rPr>
              <w:t>Св. Кирил и Методий</w:t>
            </w:r>
            <w:r w:rsidRPr="00036902">
              <w:rPr>
                <w:sz w:val="20"/>
                <w:szCs w:val="20"/>
              </w:rPr>
              <w:t>“</w:t>
            </w:r>
            <w:r w:rsidRPr="00AA5D71">
              <w:rPr>
                <w:sz w:val="20"/>
                <w:szCs w:val="20"/>
              </w:rPr>
              <w:t xml:space="preserve"> №1</w:t>
            </w:r>
            <w:r w:rsidRPr="00AA5D71">
              <w:rPr>
                <w:sz w:val="20"/>
                <w:szCs w:val="20"/>
                <w:lang w:val="ru-RU"/>
              </w:rPr>
              <w:t>7</w:t>
            </w:r>
            <w:r w:rsidRPr="00AA5D71">
              <w:rPr>
                <w:sz w:val="20"/>
                <w:szCs w:val="20"/>
              </w:rPr>
              <w:t>-1</w:t>
            </w:r>
            <w:r w:rsidRPr="00AA5D71">
              <w:rPr>
                <w:sz w:val="20"/>
                <w:szCs w:val="20"/>
                <w:lang w:val="ru-RU"/>
              </w:rPr>
              <w:t>9</w:t>
            </w:r>
          </w:p>
          <w:p w:rsidR="00452BC1" w:rsidRPr="00036902" w:rsidRDefault="00452BC1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rStyle w:val="Hyperlink"/>
                <w:sz w:val="20"/>
                <w:szCs w:val="20"/>
              </w:rPr>
            </w:pPr>
            <w:r w:rsidRPr="00AA5D71">
              <w:rPr>
                <w:sz w:val="20"/>
                <w:szCs w:val="20"/>
              </w:rPr>
              <w:t>тел.</w:t>
            </w:r>
            <w:r w:rsidRPr="00AA5D71">
              <w:rPr>
                <w:sz w:val="20"/>
                <w:szCs w:val="20"/>
                <w:lang w:val="ru-RU"/>
              </w:rPr>
              <w:t xml:space="preserve"> 9405 900</w:t>
            </w:r>
            <w:r w:rsidRPr="00AA5D71">
              <w:rPr>
                <w:sz w:val="20"/>
                <w:szCs w:val="20"/>
              </w:rPr>
              <w:t>, факс</w:t>
            </w:r>
            <w:r w:rsidRPr="00AA5D71">
              <w:rPr>
                <w:sz w:val="20"/>
                <w:szCs w:val="20"/>
                <w:lang w:val="ru-RU"/>
              </w:rPr>
              <w:t xml:space="preserve"> 987 25 17</w:t>
            </w:r>
          </w:p>
          <w:p w:rsidR="00452BC1" w:rsidRPr="00036902" w:rsidRDefault="00452BC1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AA5D71">
              <w:rPr>
                <w:sz w:val="20"/>
                <w:szCs w:val="20"/>
              </w:rPr>
              <w:t>e-mail: e-mrrb@mrrb.government.bg</w:t>
            </w:r>
          </w:p>
          <w:p w:rsidR="00452BC1" w:rsidRPr="00AA5D71" w:rsidRDefault="006A420C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452BC1" w:rsidRPr="00AA5D71">
                <w:rPr>
                  <w:sz w:val="20"/>
                  <w:szCs w:val="20"/>
                </w:rPr>
                <w:t>www.mrrb.government.bg</w:t>
              </w:r>
            </w:hyperlink>
            <w:r w:rsidR="00452BC1" w:rsidRPr="00AA5D71">
              <w:rPr>
                <w:sz w:val="20"/>
                <w:szCs w:val="20"/>
              </w:rPr>
              <w:t xml:space="preserve"> </w:t>
            </w:r>
          </w:p>
          <w:p w:rsidR="00452BC1" w:rsidRDefault="006A420C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C1" w:rsidRPr="00A503EB" w:rsidRDefault="00452BC1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r w:rsidRPr="00036902">
      <w:rPr>
        <w:sz w:val="20"/>
        <w:szCs w:val="20"/>
      </w:rPr>
      <w:t>“</w:t>
    </w:r>
    <w:r>
      <w:rPr>
        <w:sz w:val="20"/>
        <w:szCs w:val="20"/>
      </w:rPr>
      <w:t xml:space="preserve"> №1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452BC1" w:rsidRDefault="00452BC1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036902">
      <w:rPr>
        <w:rStyle w:val="Hyperlink"/>
        <w:sz w:val="20"/>
        <w:szCs w:val="20"/>
      </w:rPr>
      <w:t xml:space="preserve"> </w:t>
    </w:r>
    <w:r w:rsidRPr="004D67CA">
      <w:t>e-mail: e-mrrb@mrrb.government.bg</w:t>
    </w:r>
  </w:p>
  <w:p w:rsidR="00452BC1" w:rsidRPr="004D67CA" w:rsidRDefault="006A420C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452BC1" w:rsidRPr="004D67CA">
        <w:t>www.mrrb.government.bg</w:t>
      </w:r>
    </w:hyperlink>
    <w:r w:rsidR="00452BC1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0C" w:rsidRDefault="006A420C">
      <w:r>
        <w:separator/>
      </w:r>
    </w:p>
  </w:footnote>
  <w:footnote w:type="continuationSeparator" w:id="0">
    <w:p w:rsidR="006A420C" w:rsidRDefault="006A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452BC1" w:rsidTr="00776B70">
      <w:tc>
        <w:tcPr>
          <w:tcW w:w="9211" w:type="dxa"/>
        </w:tcPr>
        <w:p w:rsidR="00452BC1" w:rsidRDefault="00452BC1" w:rsidP="00776B70">
          <w:pPr>
            <w:pStyle w:val="Header"/>
            <w:ind w:firstLine="0"/>
            <w:jc w:val="center"/>
          </w:pPr>
        </w:p>
      </w:tc>
    </w:tr>
  </w:tbl>
  <w:p w:rsidR="00452BC1" w:rsidRDefault="00452BC1" w:rsidP="00682E20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452BC1" w:rsidTr="00023F0A">
      <w:trPr>
        <w:trHeight w:val="1445"/>
      </w:trPr>
      <w:tc>
        <w:tcPr>
          <w:tcW w:w="1728" w:type="dxa"/>
        </w:tcPr>
        <w:p w:rsidR="00452BC1" w:rsidRDefault="00452BC1" w:rsidP="00B25E5C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800" behindDoc="0" locked="0" layoutInCell="1" allowOverlap="1" wp14:anchorId="11711D8D" wp14:editId="3B8771A1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452BC1" w:rsidRPr="00821983" w:rsidRDefault="00452BC1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452BC1" w:rsidRPr="00821983" w:rsidRDefault="00452BC1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485974">
            <w:rPr>
              <w:rFonts w:ascii="Times New Roman Bold" w:hAnsi="Times New Roman Bold"/>
              <w:b/>
            </w:rPr>
            <w:t>Министерството на регионалното развитие и благоустройството</w:t>
          </w:r>
        </w:p>
      </w:tc>
    </w:tr>
  </w:tbl>
  <w:p w:rsidR="00452BC1" w:rsidRDefault="00452BC1" w:rsidP="004D67CA">
    <w:pPr>
      <w:ind w:firstLine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1EA008"/>
    <w:lvl w:ilvl="0">
      <w:start w:val="1"/>
      <w:numFmt w:val="decimal"/>
      <w:pStyle w:val="Title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F8DBB0"/>
    <w:lvl w:ilvl="0">
      <w:start w:val="1"/>
      <w:numFmt w:val="decimal"/>
      <w:pStyle w:val="IndexHead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6809B2"/>
    <w:lvl w:ilvl="0">
      <w:start w:val="1"/>
      <w:numFmt w:val="decimal"/>
      <w:pStyle w:val="Index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CE486C"/>
    <w:lvl w:ilvl="0">
      <w:start w:val="1"/>
      <w:numFmt w:val="decimal"/>
      <w:pStyle w:val="BodyText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5456015A"/>
    <w:lvl w:ilvl="0">
      <w:start w:val="1"/>
      <w:numFmt w:val="decimal"/>
      <w:pStyle w:val="BodyText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3"/>
    <w:multiLevelType w:val="hybridMultilevel"/>
    <w:tmpl w:val="CFD833D6"/>
    <w:lvl w:ilvl="0" w:tplc="FB3CBCAE">
      <w:start w:val="2"/>
      <w:numFmt w:val="bullet"/>
      <w:lvlText w:val="-"/>
      <w:lvlJc w:val="left"/>
      <w:pPr>
        <w:ind w:left="855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Restart w:val="0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Restart w:val="0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>
      <w:start w:val="1"/>
      <w:numFmt w:val="bullet"/>
      <w:lvlRestart w:val="0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>
      <w:start w:val="1"/>
      <w:numFmt w:val="bullet"/>
      <w:lvlRestart w:val="0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Restart w:val="0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>
      <w:start w:val="1"/>
      <w:numFmt w:val="bullet"/>
      <w:lvlRestart w:val="0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>
      <w:start w:val="1"/>
      <w:numFmt w:val="bullet"/>
      <w:lvlRestart w:val="0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Restart w:val="0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058C7D0B"/>
    <w:multiLevelType w:val="hybridMultilevel"/>
    <w:tmpl w:val="0F02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E5002"/>
    <w:multiLevelType w:val="multilevel"/>
    <w:tmpl w:val="231A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183AEC"/>
    <w:multiLevelType w:val="hybridMultilevel"/>
    <w:tmpl w:val="2646C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86E14"/>
    <w:multiLevelType w:val="multilevel"/>
    <w:tmpl w:val="9586B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046C19"/>
    <w:multiLevelType w:val="multilevel"/>
    <w:tmpl w:val="B5D40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541468"/>
    <w:multiLevelType w:val="hybridMultilevel"/>
    <w:tmpl w:val="BF34B230"/>
    <w:lvl w:ilvl="0" w:tplc="1E948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339BB"/>
    <w:multiLevelType w:val="hybridMultilevel"/>
    <w:tmpl w:val="2646C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26488"/>
    <w:multiLevelType w:val="hybridMultilevel"/>
    <w:tmpl w:val="6608DC26"/>
    <w:lvl w:ilvl="0" w:tplc="9FA88198">
      <w:start w:val="3"/>
      <w:numFmt w:val="bullet"/>
      <w:lvlText w:val="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D6FA4"/>
    <w:multiLevelType w:val="multilevel"/>
    <w:tmpl w:val="5F325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2850C76"/>
    <w:multiLevelType w:val="multilevel"/>
    <w:tmpl w:val="1004E61A"/>
    <w:lvl w:ilvl="0">
      <w:start w:val="1"/>
      <w:numFmt w:val="decimal"/>
      <w:pStyle w:val="Style1"/>
      <w:lvlText w:val="%1."/>
      <w:lvlJc w:val="left"/>
      <w:pPr>
        <w:tabs>
          <w:tab w:val="num" w:pos="1418"/>
        </w:tabs>
        <w:ind w:left="284" w:firstLine="85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tyle11"/>
      <w:lvlText w:val="%1.%2."/>
      <w:lvlJc w:val="left"/>
      <w:pPr>
        <w:tabs>
          <w:tab w:val="num" w:pos="644"/>
        </w:tabs>
        <w:ind w:left="-207" w:firstLine="567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Style111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8835A2A"/>
    <w:multiLevelType w:val="hybridMultilevel"/>
    <w:tmpl w:val="4862330A"/>
    <w:lvl w:ilvl="0" w:tplc="834C99B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10162"/>
    <w:multiLevelType w:val="hybridMultilevel"/>
    <w:tmpl w:val="EC2E2262"/>
    <w:lvl w:ilvl="0" w:tplc="D1DCA33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7E41"/>
    <w:multiLevelType w:val="multilevel"/>
    <w:tmpl w:val="B232B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4E5991"/>
    <w:multiLevelType w:val="hybridMultilevel"/>
    <w:tmpl w:val="C4F6CBE0"/>
    <w:lvl w:ilvl="0" w:tplc="2188B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C645C"/>
    <w:multiLevelType w:val="hybridMultilevel"/>
    <w:tmpl w:val="83F4C9C2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841783"/>
    <w:multiLevelType w:val="hybridMultilevel"/>
    <w:tmpl w:val="68EC8B16"/>
    <w:lvl w:ilvl="0" w:tplc="6AEA30F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F1F4C45"/>
    <w:multiLevelType w:val="hybridMultilevel"/>
    <w:tmpl w:val="5DDA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82A57"/>
    <w:multiLevelType w:val="hybridMultilevel"/>
    <w:tmpl w:val="5A2CAF10"/>
    <w:lvl w:ilvl="0" w:tplc="414C802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0E7792"/>
    <w:multiLevelType w:val="hybridMultilevel"/>
    <w:tmpl w:val="5EE8408A"/>
    <w:lvl w:ilvl="0" w:tplc="9FA88198">
      <w:start w:val="3"/>
      <w:numFmt w:val="bullet"/>
      <w:lvlText w:val=""/>
      <w:lvlJc w:val="left"/>
      <w:pPr>
        <w:ind w:left="540" w:hanging="360"/>
      </w:pPr>
      <w:rPr>
        <w:rFonts w:ascii="Symbol" w:eastAsia="Calibri" w:hAnsi="Symbol" w:cs="Tahoma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7D862B0"/>
    <w:multiLevelType w:val="multilevel"/>
    <w:tmpl w:val="79BE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714DF2"/>
    <w:multiLevelType w:val="hybridMultilevel"/>
    <w:tmpl w:val="E8582558"/>
    <w:lvl w:ilvl="0" w:tplc="EC72533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C24B9"/>
    <w:multiLevelType w:val="hybridMultilevel"/>
    <w:tmpl w:val="E5CC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D3045"/>
    <w:multiLevelType w:val="multilevel"/>
    <w:tmpl w:val="23FCD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826D99"/>
    <w:multiLevelType w:val="hybridMultilevel"/>
    <w:tmpl w:val="76E82AD0"/>
    <w:lvl w:ilvl="0" w:tplc="186685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A75D3"/>
    <w:multiLevelType w:val="multilevel"/>
    <w:tmpl w:val="35D0F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64052F"/>
    <w:multiLevelType w:val="hybridMultilevel"/>
    <w:tmpl w:val="29B6B26E"/>
    <w:lvl w:ilvl="0" w:tplc="1FBCE2B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E75FB"/>
    <w:multiLevelType w:val="hybridMultilevel"/>
    <w:tmpl w:val="240C4644"/>
    <w:lvl w:ilvl="0" w:tplc="F74A82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459792C"/>
    <w:multiLevelType w:val="hybridMultilevel"/>
    <w:tmpl w:val="7EF28ADC"/>
    <w:lvl w:ilvl="0" w:tplc="627A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B1CF5"/>
    <w:multiLevelType w:val="hybridMultilevel"/>
    <w:tmpl w:val="6CEC0308"/>
    <w:lvl w:ilvl="0" w:tplc="94D063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66035148"/>
    <w:multiLevelType w:val="hybridMultilevel"/>
    <w:tmpl w:val="6570DEE6"/>
    <w:lvl w:ilvl="0" w:tplc="47029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43F93"/>
    <w:multiLevelType w:val="multilevel"/>
    <w:tmpl w:val="598CA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C341D3"/>
    <w:multiLevelType w:val="hybridMultilevel"/>
    <w:tmpl w:val="02027694"/>
    <w:lvl w:ilvl="0" w:tplc="7200F6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B34C7C"/>
    <w:multiLevelType w:val="multilevel"/>
    <w:tmpl w:val="0776A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25"/>
  </w:num>
  <w:num w:numId="8">
    <w:abstractNumId w:val="13"/>
  </w:num>
  <w:num w:numId="9">
    <w:abstractNumId w:val="24"/>
  </w:num>
  <w:num w:numId="10">
    <w:abstractNumId w:val="22"/>
  </w:num>
  <w:num w:numId="11">
    <w:abstractNumId w:val="23"/>
  </w:num>
  <w:num w:numId="12">
    <w:abstractNumId w:val="15"/>
  </w:num>
  <w:num w:numId="13">
    <w:abstractNumId w:val="5"/>
  </w:num>
  <w:num w:numId="14">
    <w:abstractNumId w:val="7"/>
  </w:num>
  <w:num w:numId="15">
    <w:abstractNumId w:val="38"/>
  </w:num>
  <w:num w:numId="16">
    <w:abstractNumId w:val="36"/>
  </w:num>
  <w:num w:numId="17">
    <w:abstractNumId w:val="28"/>
  </w:num>
  <w:num w:numId="18">
    <w:abstractNumId w:val="10"/>
  </w:num>
  <w:num w:numId="19">
    <w:abstractNumId w:val="9"/>
  </w:num>
  <w:num w:numId="20">
    <w:abstractNumId w:val="30"/>
  </w:num>
  <w:num w:numId="21">
    <w:abstractNumId w:val="34"/>
  </w:num>
  <w:num w:numId="22">
    <w:abstractNumId w:val="6"/>
  </w:num>
  <w:num w:numId="23">
    <w:abstractNumId w:val="19"/>
  </w:num>
  <w:num w:numId="24">
    <w:abstractNumId w:val="27"/>
  </w:num>
  <w:num w:numId="25">
    <w:abstractNumId w:val="33"/>
  </w:num>
  <w:num w:numId="26">
    <w:abstractNumId w:val="21"/>
  </w:num>
  <w:num w:numId="27">
    <w:abstractNumId w:val="35"/>
  </w:num>
  <w:num w:numId="28">
    <w:abstractNumId w:val="11"/>
  </w:num>
  <w:num w:numId="29">
    <w:abstractNumId w:val="37"/>
  </w:num>
  <w:num w:numId="30">
    <w:abstractNumId w:val="29"/>
  </w:num>
  <w:num w:numId="31">
    <w:abstractNumId w:val="14"/>
  </w:num>
  <w:num w:numId="32">
    <w:abstractNumId w:val="32"/>
  </w:num>
  <w:num w:numId="33">
    <w:abstractNumId w:val="16"/>
  </w:num>
  <w:num w:numId="34">
    <w:abstractNumId w:val="26"/>
  </w:num>
  <w:num w:numId="35">
    <w:abstractNumId w:val="12"/>
  </w:num>
  <w:num w:numId="36">
    <w:abstractNumId w:val="8"/>
  </w:num>
  <w:num w:numId="37">
    <w:abstractNumId w:val="17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63"/>
    <w:rsid w:val="00003F9C"/>
    <w:rsid w:val="00011EAB"/>
    <w:rsid w:val="00017451"/>
    <w:rsid w:val="0002297B"/>
    <w:rsid w:val="00023F0A"/>
    <w:rsid w:val="00032511"/>
    <w:rsid w:val="00036902"/>
    <w:rsid w:val="00057FF6"/>
    <w:rsid w:val="00080657"/>
    <w:rsid w:val="0008513C"/>
    <w:rsid w:val="0008612E"/>
    <w:rsid w:val="000A5F38"/>
    <w:rsid w:val="000C2519"/>
    <w:rsid w:val="000C3B8C"/>
    <w:rsid w:val="000C778F"/>
    <w:rsid w:val="000E2FE9"/>
    <w:rsid w:val="000E51BC"/>
    <w:rsid w:val="000F1B52"/>
    <w:rsid w:val="000F2448"/>
    <w:rsid w:val="001069E1"/>
    <w:rsid w:val="0011046A"/>
    <w:rsid w:val="00114B6D"/>
    <w:rsid w:val="00117B2B"/>
    <w:rsid w:val="0012013D"/>
    <w:rsid w:val="001204BF"/>
    <w:rsid w:val="00120D09"/>
    <w:rsid w:val="00122688"/>
    <w:rsid w:val="00127EED"/>
    <w:rsid w:val="00130A4A"/>
    <w:rsid w:val="00132395"/>
    <w:rsid w:val="00145E77"/>
    <w:rsid w:val="001468C9"/>
    <w:rsid w:val="00146ABA"/>
    <w:rsid w:val="00152F5C"/>
    <w:rsid w:val="00166203"/>
    <w:rsid w:val="001665D6"/>
    <w:rsid w:val="00190135"/>
    <w:rsid w:val="00191F31"/>
    <w:rsid w:val="0019502F"/>
    <w:rsid w:val="001A44CA"/>
    <w:rsid w:val="001A5B9C"/>
    <w:rsid w:val="001E0001"/>
    <w:rsid w:val="001E1860"/>
    <w:rsid w:val="001F30E8"/>
    <w:rsid w:val="001F550E"/>
    <w:rsid w:val="0021049A"/>
    <w:rsid w:val="002133AB"/>
    <w:rsid w:val="00233036"/>
    <w:rsid w:val="002344B6"/>
    <w:rsid w:val="00234F07"/>
    <w:rsid w:val="002414DF"/>
    <w:rsid w:val="00246101"/>
    <w:rsid w:val="00250953"/>
    <w:rsid w:val="00254CD9"/>
    <w:rsid w:val="002566D6"/>
    <w:rsid w:val="002644F7"/>
    <w:rsid w:val="0026490C"/>
    <w:rsid w:val="00266300"/>
    <w:rsid w:val="00270F09"/>
    <w:rsid w:val="00270FC5"/>
    <w:rsid w:val="00272B22"/>
    <w:rsid w:val="00290E1D"/>
    <w:rsid w:val="00294917"/>
    <w:rsid w:val="002B1605"/>
    <w:rsid w:val="002D27D9"/>
    <w:rsid w:val="002D36EB"/>
    <w:rsid w:val="002E1186"/>
    <w:rsid w:val="002E2B51"/>
    <w:rsid w:val="002F24F9"/>
    <w:rsid w:val="00306167"/>
    <w:rsid w:val="003116D8"/>
    <w:rsid w:val="00322AD7"/>
    <w:rsid w:val="00327435"/>
    <w:rsid w:val="003312DA"/>
    <w:rsid w:val="003400E0"/>
    <w:rsid w:val="003405CA"/>
    <w:rsid w:val="0034422F"/>
    <w:rsid w:val="003457C3"/>
    <w:rsid w:val="00350E39"/>
    <w:rsid w:val="0035704D"/>
    <w:rsid w:val="003622CA"/>
    <w:rsid w:val="00366626"/>
    <w:rsid w:val="00367DB0"/>
    <w:rsid w:val="003736FE"/>
    <w:rsid w:val="0037679B"/>
    <w:rsid w:val="00382BC7"/>
    <w:rsid w:val="0039182E"/>
    <w:rsid w:val="003B01AF"/>
    <w:rsid w:val="003B08F0"/>
    <w:rsid w:val="003B1986"/>
    <w:rsid w:val="003B2FDB"/>
    <w:rsid w:val="003B61B4"/>
    <w:rsid w:val="003C41FC"/>
    <w:rsid w:val="003D279E"/>
    <w:rsid w:val="00407361"/>
    <w:rsid w:val="00411956"/>
    <w:rsid w:val="0041296D"/>
    <w:rsid w:val="004277D6"/>
    <w:rsid w:val="00431ED2"/>
    <w:rsid w:val="00433505"/>
    <w:rsid w:val="00444E4A"/>
    <w:rsid w:val="00445216"/>
    <w:rsid w:val="00452BC1"/>
    <w:rsid w:val="00457358"/>
    <w:rsid w:val="004636B3"/>
    <w:rsid w:val="00467F0B"/>
    <w:rsid w:val="00475D52"/>
    <w:rsid w:val="00485974"/>
    <w:rsid w:val="00485EC5"/>
    <w:rsid w:val="0049182A"/>
    <w:rsid w:val="00493008"/>
    <w:rsid w:val="00495290"/>
    <w:rsid w:val="004956B7"/>
    <w:rsid w:val="00497E32"/>
    <w:rsid w:val="004A4C66"/>
    <w:rsid w:val="004A6D4E"/>
    <w:rsid w:val="004B1E20"/>
    <w:rsid w:val="004B2272"/>
    <w:rsid w:val="004B2ABB"/>
    <w:rsid w:val="004B6502"/>
    <w:rsid w:val="004C46C8"/>
    <w:rsid w:val="004C7176"/>
    <w:rsid w:val="004D038C"/>
    <w:rsid w:val="004D49C2"/>
    <w:rsid w:val="004D67CA"/>
    <w:rsid w:val="004E21D1"/>
    <w:rsid w:val="00522E2B"/>
    <w:rsid w:val="00540542"/>
    <w:rsid w:val="005415DF"/>
    <w:rsid w:val="00551210"/>
    <w:rsid w:val="00564A1E"/>
    <w:rsid w:val="00572029"/>
    <w:rsid w:val="005845CD"/>
    <w:rsid w:val="005860F1"/>
    <w:rsid w:val="00594D1E"/>
    <w:rsid w:val="0059665E"/>
    <w:rsid w:val="00597130"/>
    <w:rsid w:val="005A4C22"/>
    <w:rsid w:val="005C3210"/>
    <w:rsid w:val="005C499E"/>
    <w:rsid w:val="005C75AB"/>
    <w:rsid w:val="005F0FEA"/>
    <w:rsid w:val="005F3209"/>
    <w:rsid w:val="005F53FA"/>
    <w:rsid w:val="00605CB0"/>
    <w:rsid w:val="0063477B"/>
    <w:rsid w:val="00647EC9"/>
    <w:rsid w:val="006552CC"/>
    <w:rsid w:val="00662B42"/>
    <w:rsid w:val="006665A9"/>
    <w:rsid w:val="00680093"/>
    <w:rsid w:val="00682E20"/>
    <w:rsid w:val="00685FD8"/>
    <w:rsid w:val="006913AF"/>
    <w:rsid w:val="006A420C"/>
    <w:rsid w:val="006B7259"/>
    <w:rsid w:val="006B7F91"/>
    <w:rsid w:val="006C03A0"/>
    <w:rsid w:val="006C30B0"/>
    <w:rsid w:val="006C5EEB"/>
    <w:rsid w:val="006D166A"/>
    <w:rsid w:val="006D33C5"/>
    <w:rsid w:val="006E4577"/>
    <w:rsid w:val="006E712C"/>
    <w:rsid w:val="006F0B70"/>
    <w:rsid w:val="006F2D9E"/>
    <w:rsid w:val="006F5902"/>
    <w:rsid w:val="00701B7B"/>
    <w:rsid w:val="00703585"/>
    <w:rsid w:val="00705169"/>
    <w:rsid w:val="00710C77"/>
    <w:rsid w:val="00722054"/>
    <w:rsid w:val="00740F73"/>
    <w:rsid w:val="00744568"/>
    <w:rsid w:val="007473E6"/>
    <w:rsid w:val="0075600F"/>
    <w:rsid w:val="007570B4"/>
    <w:rsid w:val="00766A37"/>
    <w:rsid w:val="00766AF9"/>
    <w:rsid w:val="00773444"/>
    <w:rsid w:val="00776B70"/>
    <w:rsid w:val="007A26D0"/>
    <w:rsid w:val="007B505A"/>
    <w:rsid w:val="007C0D99"/>
    <w:rsid w:val="007C4F65"/>
    <w:rsid w:val="007D4C7A"/>
    <w:rsid w:val="007F178C"/>
    <w:rsid w:val="007F17D1"/>
    <w:rsid w:val="00806573"/>
    <w:rsid w:val="008109EF"/>
    <w:rsid w:val="00811700"/>
    <w:rsid w:val="00821983"/>
    <w:rsid w:val="008373A4"/>
    <w:rsid w:val="008429A0"/>
    <w:rsid w:val="008459DD"/>
    <w:rsid w:val="00847255"/>
    <w:rsid w:val="00863552"/>
    <w:rsid w:val="00866897"/>
    <w:rsid w:val="0087415D"/>
    <w:rsid w:val="00883DAD"/>
    <w:rsid w:val="00890DCF"/>
    <w:rsid w:val="008B0255"/>
    <w:rsid w:val="008C089F"/>
    <w:rsid w:val="008C6FD6"/>
    <w:rsid w:val="008E7B0F"/>
    <w:rsid w:val="008F473F"/>
    <w:rsid w:val="008F6C10"/>
    <w:rsid w:val="009076CC"/>
    <w:rsid w:val="00912CD2"/>
    <w:rsid w:val="0091547C"/>
    <w:rsid w:val="0091677F"/>
    <w:rsid w:val="00917D1E"/>
    <w:rsid w:val="009207DD"/>
    <w:rsid w:val="00940EB2"/>
    <w:rsid w:val="00945767"/>
    <w:rsid w:val="00965A24"/>
    <w:rsid w:val="0097213E"/>
    <w:rsid w:val="0098299E"/>
    <w:rsid w:val="00987F56"/>
    <w:rsid w:val="00991FBE"/>
    <w:rsid w:val="00993382"/>
    <w:rsid w:val="009D0649"/>
    <w:rsid w:val="009D3065"/>
    <w:rsid w:val="009D6903"/>
    <w:rsid w:val="009E2D15"/>
    <w:rsid w:val="009F0C88"/>
    <w:rsid w:val="009F64CE"/>
    <w:rsid w:val="009F699D"/>
    <w:rsid w:val="00A04874"/>
    <w:rsid w:val="00A11C13"/>
    <w:rsid w:val="00A13E81"/>
    <w:rsid w:val="00A1592E"/>
    <w:rsid w:val="00A16692"/>
    <w:rsid w:val="00A30124"/>
    <w:rsid w:val="00A3041D"/>
    <w:rsid w:val="00A30D86"/>
    <w:rsid w:val="00A370D6"/>
    <w:rsid w:val="00A43A6A"/>
    <w:rsid w:val="00A503EB"/>
    <w:rsid w:val="00A56504"/>
    <w:rsid w:val="00A6539F"/>
    <w:rsid w:val="00A74520"/>
    <w:rsid w:val="00A760AE"/>
    <w:rsid w:val="00A8030E"/>
    <w:rsid w:val="00A86CE8"/>
    <w:rsid w:val="00A91F1B"/>
    <w:rsid w:val="00A9233E"/>
    <w:rsid w:val="00A9503B"/>
    <w:rsid w:val="00AA5C91"/>
    <w:rsid w:val="00AA5D71"/>
    <w:rsid w:val="00AB673B"/>
    <w:rsid w:val="00AC0B33"/>
    <w:rsid w:val="00AD775F"/>
    <w:rsid w:val="00AF5234"/>
    <w:rsid w:val="00AF588D"/>
    <w:rsid w:val="00B02C3D"/>
    <w:rsid w:val="00B25E5C"/>
    <w:rsid w:val="00B40011"/>
    <w:rsid w:val="00B62B04"/>
    <w:rsid w:val="00B7444F"/>
    <w:rsid w:val="00BA0D36"/>
    <w:rsid w:val="00BA7270"/>
    <w:rsid w:val="00BA7485"/>
    <w:rsid w:val="00BA7B65"/>
    <w:rsid w:val="00BC12BD"/>
    <w:rsid w:val="00BD00B3"/>
    <w:rsid w:val="00BD278F"/>
    <w:rsid w:val="00BD4432"/>
    <w:rsid w:val="00BE1392"/>
    <w:rsid w:val="00BF0F31"/>
    <w:rsid w:val="00BF1C66"/>
    <w:rsid w:val="00BF39BB"/>
    <w:rsid w:val="00C12762"/>
    <w:rsid w:val="00C25530"/>
    <w:rsid w:val="00C33FAC"/>
    <w:rsid w:val="00C406FB"/>
    <w:rsid w:val="00C43DBF"/>
    <w:rsid w:val="00C51E4D"/>
    <w:rsid w:val="00C53228"/>
    <w:rsid w:val="00C60E66"/>
    <w:rsid w:val="00C63C5B"/>
    <w:rsid w:val="00C673DE"/>
    <w:rsid w:val="00C73E28"/>
    <w:rsid w:val="00C73F32"/>
    <w:rsid w:val="00C90AE0"/>
    <w:rsid w:val="00C937E3"/>
    <w:rsid w:val="00CA57CE"/>
    <w:rsid w:val="00CC5AC8"/>
    <w:rsid w:val="00CE434B"/>
    <w:rsid w:val="00CE458A"/>
    <w:rsid w:val="00CE499A"/>
    <w:rsid w:val="00CF37D6"/>
    <w:rsid w:val="00D03BE0"/>
    <w:rsid w:val="00D07CDF"/>
    <w:rsid w:val="00D22467"/>
    <w:rsid w:val="00D33835"/>
    <w:rsid w:val="00D3393A"/>
    <w:rsid w:val="00D34E68"/>
    <w:rsid w:val="00D35CEA"/>
    <w:rsid w:val="00D45730"/>
    <w:rsid w:val="00D5629B"/>
    <w:rsid w:val="00D71DF1"/>
    <w:rsid w:val="00D744B9"/>
    <w:rsid w:val="00D85E64"/>
    <w:rsid w:val="00DA1ADD"/>
    <w:rsid w:val="00DB6BB9"/>
    <w:rsid w:val="00DC2D67"/>
    <w:rsid w:val="00DC5B63"/>
    <w:rsid w:val="00DD0D53"/>
    <w:rsid w:val="00DD3DFE"/>
    <w:rsid w:val="00DD4171"/>
    <w:rsid w:val="00DD695F"/>
    <w:rsid w:val="00DF1289"/>
    <w:rsid w:val="00DF2FD9"/>
    <w:rsid w:val="00E122A9"/>
    <w:rsid w:val="00E13DD6"/>
    <w:rsid w:val="00E15176"/>
    <w:rsid w:val="00E25AD9"/>
    <w:rsid w:val="00E312BF"/>
    <w:rsid w:val="00E61534"/>
    <w:rsid w:val="00E61CDE"/>
    <w:rsid w:val="00E90ADE"/>
    <w:rsid w:val="00EA2D8C"/>
    <w:rsid w:val="00EC02E4"/>
    <w:rsid w:val="00EF3208"/>
    <w:rsid w:val="00EF33DB"/>
    <w:rsid w:val="00EF7ABC"/>
    <w:rsid w:val="00F16764"/>
    <w:rsid w:val="00F175B4"/>
    <w:rsid w:val="00F43052"/>
    <w:rsid w:val="00F456F5"/>
    <w:rsid w:val="00F60F76"/>
    <w:rsid w:val="00F74625"/>
    <w:rsid w:val="00F83CA9"/>
    <w:rsid w:val="00F84FE1"/>
    <w:rsid w:val="00F96D92"/>
    <w:rsid w:val="00FA1193"/>
    <w:rsid w:val="00FC01EE"/>
    <w:rsid w:val="00FC14EC"/>
    <w:rsid w:val="00FC4755"/>
    <w:rsid w:val="00FD2416"/>
    <w:rsid w:val="00FE4781"/>
    <w:rsid w:val="00FF2F3A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F1034E-8B3B-4F48-ADB1-5863FDA2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9A0"/>
    <w:pPr>
      <w:keepNext/>
      <w:spacing w:before="0" w:after="0" w:line="240" w:lineRule="auto"/>
      <w:ind w:firstLine="0"/>
      <w:jc w:val="both"/>
      <w:outlineLvl w:val="0"/>
    </w:pPr>
    <w:rPr>
      <w:rFonts w:ascii="Arial" w:hAnsi="Arial"/>
      <w:b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429A0"/>
    <w:pPr>
      <w:keepNext/>
      <w:spacing w:before="0" w:after="0" w:line="240" w:lineRule="auto"/>
      <w:ind w:firstLine="0"/>
      <w:jc w:val="center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429A0"/>
    <w:pPr>
      <w:keepNext/>
      <w:spacing w:after="0" w:line="240" w:lineRule="auto"/>
      <w:ind w:firstLine="0"/>
      <w:jc w:val="center"/>
      <w:outlineLvl w:val="2"/>
    </w:pPr>
    <w:rPr>
      <w:b/>
      <w:sz w:val="22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8429A0"/>
    <w:pPr>
      <w:keepNext/>
      <w:spacing w:before="0" w:after="0" w:line="240" w:lineRule="auto"/>
      <w:ind w:firstLine="0"/>
      <w:outlineLvl w:val="3"/>
    </w:pPr>
    <w:rPr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429A0"/>
    <w:pPr>
      <w:keepNext/>
      <w:spacing w:before="0" w:after="0" w:line="240" w:lineRule="auto"/>
      <w:ind w:firstLine="0"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429A0"/>
    <w:pPr>
      <w:keepNext/>
      <w:spacing w:before="0" w:after="0" w:line="240" w:lineRule="auto"/>
      <w:ind w:firstLine="0"/>
      <w:jc w:val="center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429A0"/>
    <w:pPr>
      <w:keepNext/>
      <w:spacing w:before="0" w:after="0" w:line="240" w:lineRule="auto"/>
      <w:ind w:firstLine="0"/>
      <w:jc w:val="center"/>
      <w:outlineLvl w:val="6"/>
    </w:pPr>
    <w:rPr>
      <w:i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429A0"/>
    <w:pPr>
      <w:keepNext/>
      <w:spacing w:before="0" w:after="0" w:line="240" w:lineRule="auto"/>
      <w:ind w:firstLine="0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429A0"/>
    <w:pPr>
      <w:keepNext/>
      <w:spacing w:before="0" w:after="0" w:line="240" w:lineRule="auto"/>
      <w:ind w:firstLine="0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20D0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429A0"/>
    <w:rPr>
      <w:rFonts w:ascii="Arial" w:hAnsi="Arial"/>
      <w:b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429A0"/>
    <w:rPr>
      <w:b/>
      <w:sz w:val="28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429A0"/>
    <w:rPr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429A0"/>
    <w:rPr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429A0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8429A0"/>
    <w:rPr>
      <w:rFonts w:ascii="Arial" w:hAnsi="Arial"/>
      <w:b/>
    </w:rPr>
  </w:style>
  <w:style w:type="character" w:customStyle="1" w:styleId="Heading7Char">
    <w:name w:val="Heading 7 Char"/>
    <w:basedOn w:val="DefaultParagraphFont"/>
    <w:link w:val="Heading7"/>
    <w:rsid w:val="008429A0"/>
    <w:rPr>
      <w:i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8429A0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429A0"/>
    <w:rPr>
      <w:rFonts w:ascii="Arial" w:hAnsi="Arial"/>
      <w:b/>
      <w:sz w:val="23"/>
    </w:rPr>
  </w:style>
  <w:style w:type="numbering" w:customStyle="1" w:styleId="NoList1">
    <w:name w:val="No List1"/>
    <w:next w:val="NoList"/>
    <w:uiPriority w:val="99"/>
    <w:semiHidden/>
    <w:unhideWhenUsed/>
    <w:rsid w:val="008429A0"/>
  </w:style>
  <w:style w:type="paragraph" w:styleId="BodyText">
    <w:name w:val="Body Text"/>
    <w:basedOn w:val="Normal"/>
    <w:link w:val="BodyTextChar"/>
    <w:unhideWhenUsed/>
    <w:rsid w:val="008429A0"/>
    <w:pPr>
      <w:spacing w:before="0" w:after="0" w:line="240" w:lineRule="auto"/>
      <w:ind w:firstLine="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429A0"/>
    <w:rPr>
      <w:rFonts w:ascii="Arial" w:hAnsi="Arial"/>
      <w:sz w:val="24"/>
      <w:szCs w:val="24"/>
    </w:rPr>
  </w:style>
  <w:style w:type="character" w:styleId="Strong">
    <w:name w:val="Strong"/>
    <w:qFormat/>
    <w:rsid w:val="008429A0"/>
    <w:rPr>
      <w:b/>
      <w:bCs/>
    </w:rPr>
  </w:style>
  <w:style w:type="character" w:customStyle="1" w:styleId="search01">
    <w:name w:val="search01"/>
    <w:rsid w:val="008429A0"/>
    <w:rPr>
      <w:shd w:val="clear" w:color="auto" w:fill="FFFF66"/>
    </w:rPr>
  </w:style>
  <w:style w:type="paragraph" w:styleId="FootnoteText">
    <w:name w:val="footnote text"/>
    <w:basedOn w:val="Normal"/>
    <w:link w:val="FootnoteTextChar"/>
    <w:unhideWhenUsed/>
    <w:rsid w:val="008429A0"/>
    <w:pPr>
      <w:spacing w:before="0" w:after="0" w:line="240" w:lineRule="auto"/>
      <w:ind w:firstLine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429A0"/>
    <w:rPr>
      <w:rFonts w:ascii="Calibri" w:eastAsia="Calibri" w:hAnsi="Calibri"/>
      <w:lang w:val="en-US" w:eastAsia="en-US"/>
    </w:rPr>
  </w:style>
  <w:style w:type="paragraph" w:styleId="BodyText2">
    <w:name w:val="Body Text 2"/>
    <w:basedOn w:val="Normal"/>
    <w:link w:val="BodyText2Char"/>
    <w:rsid w:val="008429A0"/>
    <w:pPr>
      <w:spacing w:before="0" w:line="480" w:lineRule="auto"/>
      <w:ind w:firstLine="0"/>
    </w:pPr>
  </w:style>
  <w:style w:type="character" w:customStyle="1" w:styleId="BodyText2Char">
    <w:name w:val="Body Text 2 Char"/>
    <w:basedOn w:val="DefaultParagraphFont"/>
    <w:link w:val="BodyText2"/>
    <w:rsid w:val="008429A0"/>
    <w:rPr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8429A0"/>
  </w:style>
  <w:style w:type="numbering" w:customStyle="1" w:styleId="NoList111">
    <w:name w:val="No List111"/>
    <w:next w:val="NoList"/>
    <w:semiHidden/>
    <w:rsid w:val="008429A0"/>
  </w:style>
  <w:style w:type="paragraph" w:styleId="BodyTextIndent">
    <w:name w:val="Body Text Indent"/>
    <w:basedOn w:val="Normal"/>
    <w:link w:val="BodyTextIndentChar"/>
    <w:rsid w:val="008429A0"/>
    <w:pPr>
      <w:spacing w:before="0" w:after="0" w:line="240" w:lineRule="auto"/>
      <w:ind w:left="720" w:hanging="720"/>
      <w:jc w:val="both"/>
    </w:pPr>
    <w:rPr>
      <w:rFonts w:ascii="Arial" w:hAnsi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29A0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8429A0"/>
    <w:rPr>
      <w:sz w:val="16"/>
    </w:rPr>
  </w:style>
  <w:style w:type="paragraph" w:styleId="CommentText">
    <w:name w:val="annotation text"/>
    <w:basedOn w:val="Normal"/>
    <w:link w:val="CommentTextChar"/>
    <w:rsid w:val="008429A0"/>
    <w:pPr>
      <w:spacing w:before="0" w:after="0" w:line="240" w:lineRule="auto"/>
      <w:ind w:firstLine="0"/>
    </w:pPr>
    <w:rPr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8429A0"/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8429A0"/>
    <w:pPr>
      <w:spacing w:before="0" w:after="0" w:line="240" w:lineRule="auto"/>
      <w:ind w:left="720" w:hanging="720"/>
      <w:jc w:val="both"/>
    </w:pPr>
    <w:rPr>
      <w:rFonts w:ascii="Arial" w:hAnsi="Arial"/>
      <w:b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429A0"/>
    <w:rPr>
      <w:rFonts w:ascii="Arial" w:hAnsi="Arial"/>
      <w:b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8429A0"/>
    <w:pPr>
      <w:spacing w:before="0" w:after="0" w:line="240" w:lineRule="auto"/>
      <w:ind w:firstLine="0"/>
    </w:pPr>
    <w:rPr>
      <w:rFonts w:ascii="Courier New" w:hAnsi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8429A0"/>
    <w:rPr>
      <w:rFonts w:ascii="Courier New" w:hAnsi="Courier New"/>
      <w:lang w:val="en-GB" w:eastAsia="en-US"/>
    </w:rPr>
  </w:style>
  <w:style w:type="paragraph" w:customStyle="1" w:styleId="Einzug1">
    <w:name w:val="Einzug 1"/>
    <w:basedOn w:val="Normal"/>
    <w:rsid w:val="008429A0"/>
    <w:pPr>
      <w:spacing w:before="0" w:after="0" w:line="240" w:lineRule="auto"/>
      <w:ind w:left="567" w:firstLine="0"/>
    </w:pPr>
    <w:rPr>
      <w:rFonts w:ascii="Univers (WN)" w:hAnsi="Univers (WN)"/>
      <w:sz w:val="22"/>
      <w:lang w:eastAsia="en-US"/>
    </w:rPr>
  </w:style>
  <w:style w:type="paragraph" w:customStyle="1" w:styleId="BodyText21">
    <w:name w:val="Body Text 21"/>
    <w:basedOn w:val="Normal"/>
    <w:rsid w:val="008429A0"/>
    <w:pPr>
      <w:widowControl w:val="0"/>
      <w:numPr>
        <w:numId w:val="1"/>
      </w:numPr>
      <w:tabs>
        <w:tab w:val="clear" w:pos="360"/>
        <w:tab w:val="left" w:pos="1560"/>
      </w:tabs>
      <w:spacing w:before="0" w:after="0" w:line="240" w:lineRule="auto"/>
      <w:ind w:left="0" w:firstLine="0"/>
      <w:jc w:val="both"/>
    </w:pPr>
    <w:rPr>
      <w:rFonts w:ascii="Timok" w:hAnsi="Timok"/>
      <w:szCs w:val="20"/>
      <w:lang w:val="en-AU" w:eastAsia="en-US"/>
    </w:rPr>
  </w:style>
  <w:style w:type="paragraph" w:styleId="BodyText3">
    <w:name w:val="Body Text 3"/>
    <w:basedOn w:val="Normal"/>
    <w:link w:val="BodyText3Char"/>
    <w:rsid w:val="008429A0"/>
    <w:pPr>
      <w:numPr>
        <w:numId w:val="2"/>
      </w:numPr>
      <w:tabs>
        <w:tab w:val="clear" w:pos="720"/>
      </w:tabs>
      <w:spacing w:before="0" w:after="0" w:line="240" w:lineRule="auto"/>
      <w:ind w:left="0" w:firstLine="0"/>
    </w:pPr>
    <w:rPr>
      <w:rFonts w:ascii="Arial" w:hAnsi="Arial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8429A0"/>
    <w:rPr>
      <w:rFonts w:ascii="Arial" w:hAnsi="Arial"/>
      <w:sz w:val="18"/>
    </w:rPr>
  </w:style>
  <w:style w:type="paragraph" w:styleId="Index1">
    <w:name w:val="index 1"/>
    <w:basedOn w:val="Normal"/>
    <w:next w:val="Normal"/>
    <w:autoRedefine/>
    <w:rsid w:val="008429A0"/>
    <w:pPr>
      <w:numPr>
        <w:numId w:val="3"/>
      </w:numPr>
      <w:tabs>
        <w:tab w:val="clear" w:pos="1080"/>
      </w:tabs>
      <w:spacing w:before="0" w:after="0" w:line="240" w:lineRule="auto"/>
      <w:ind w:left="240" w:hanging="240"/>
    </w:pPr>
    <w:rPr>
      <w:lang w:val="en-GB" w:eastAsia="en-US"/>
    </w:rPr>
  </w:style>
  <w:style w:type="paragraph" w:styleId="IndexHeading">
    <w:name w:val="index heading"/>
    <w:basedOn w:val="Normal"/>
    <w:next w:val="Index1"/>
    <w:rsid w:val="008429A0"/>
    <w:pPr>
      <w:numPr>
        <w:numId w:val="4"/>
      </w:numPr>
      <w:tabs>
        <w:tab w:val="clear" w:pos="1440"/>
      </w:tabs>
      <w:spacing w:before="0" w:after="0" w:line="240" w:lineRule="auto"/>
      <w:ind w:left="0" w:firstLine="0"/>
    </w:pPr>
    <w:rPr>
      <w:rFonts w:ascii="Arial" w:hAnsi="Arial"/>
      <w:b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8429A0"/>
    <w:pPr>
      <w:numPr>
        <w:numId w:val="5"/>
      </w:numPr>
      <w:tabs>
        <w:tab w:val="clear" w:pos="1800"/>
      </w:tabs>
      <w:spacing w:before="0" w:after="0" w:line="240" w:lineRule="auto"/>
      <w:ind w:left="0" w:firstLine="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29A0"/>
    <w:rPr>
      <w:b/>
      <w:sz w:val="28"/>
    </w:rPr>
  </w:style>
  <w:style w:type="paragraph" w:styleId="BlockText">
    <w:name w:val="Block Text"/>
    <w:basedOn w:val="Normal"/>
    <w:rsid w:val="008429A0"/>
    <w:pPr>
      <w:spacing w:before="0" w:after="0" w:line="240" w:lineRule="auto"/>
      <w:ind w:left="1418" w:right="707" w:hanging="567"/>
    </w:pPr>
    <w:rPr>
      <w:sz w:val="28"/>
      <w:szCs w:val="20"/>
      <w:lang w:eastAsia="en-US"/>
    </w:rPr>
  </w:style>
  <w:style w:type="paragraph" w:customStyle="1" w:styleId="Standard05">
    <w:name w:val="Standard+0.5"/>
    <w:basedOn w:val="Normal"/>
    <w:rsid w:val="008429A0"/>
    <w:pPr>
      <w:spacing w:before="0" w:after="0" w:line="240" w:lineRule="auto"/>
      <w:ind w:left="284" w:firstLine="0"/>
    </w:pPr>
    <w:rPr>
      <w:rFonts w:ascii="Arial" w:hAnsi="Arial"/>
      <w:sz w:val="22"/>
      <w:szCs w:val="20"/>
      <w:lang w:eastAsia="en-US"/>
    </w:rPr>
  </w:style>
  <w:style w:type="paragraph" w:styleId="TOAHeading">
    <w:name w:val="toa heading"/>
    <w:basedOn w:val="Normal"/>
    <w:next w:val="Normal"/>
    <w:rsid w:val="008429A0"/>
    <w:pPr>
      <w:spacing w:after="0" w:line="240" w:lineRule="auto"/>
      <w:ind w:firstLine="0"/>
    </w:pPr>
    <w:rPr>
      <w:rFonts w:ascii="Arial" w:hAnsi="Arial"/>
      <w:b/>
      <w:szCs w:val="20"/>
      <w:lang w:val="en-GB" w:eastAsia="en-US"/>
    </w:rPr>
  </w:style>
  <w:style w:type="paragraph" w:styleId="ListBullet">
    <w:name w:val="List Bullet"/>
    <w:basedOn w:val="Normal"/>
    <w:autoRedefine/>
    <w:rsid w:val="008429A0"/>
    <w:pPr>
      <w:tabs>
        <w:tab w:val="num" w:pos="360"/>
      </w:tabs>
      <w:spacing w:before="0" w:after="0" w:line="240" w:lineRule="auto"/>
      <w:ind w:left="360" w:hanging="360"/>
    </w:pPr>
    <w:rPr>
      <w:sz w:val="20"/>
      <w:szCs w:val="20"/>
      <w:lang w:val="en-GB" w:eastAsia="en-US"/>
    </w:rPr>
  </w:style>
  <w:style w:type="paragraph" w:styleId="ListBullet2">
    <w:name w:val="List Bullet 2"/>
    <w:basedOn w:val="Normal"/>
    <w:autoRedefine/>
    <w:rsid w:val="008429A0"/>
    <w:pPr>
      <w:tabs>
        <w:tab w:val="num" w:pos="720"/>
      </w:tabs>
      <w:spacing w:before="0" w:after="0" w:line="240" w:lineRule="auto"/>
      <w:ind w:left="720" w:hanging="360"/>
    </w:pPr>
    <w:rPr>
      <w:sz w:val="20"/>
      <w:szCs w:val="20"/>
      <w:lang w:val="en-GB" w:eastAsia="en-US"/>
    </w:rPr>
  </w:style>
  <w:style w:type="paragraph" w:styleId="ListBullet3">
    <w:name w:val="List Bullet 3"/>
    <w:basedOn w:val="Normal"/>
    <w:autoRedefine/>
    <w:rsid w:val="008429A0"/>
    <w:pPr>
      <w:tabs>
        <w:tab w:val="num" w:pos="1080"/>
      </w:tabs>
      <w:spacing w:before="0" w:after="0" w:line="240" w:lineRule="auto"/>
      <w:ind w:left="1080" w:hanging="360"/>
    </w:pPr>
    <w:rPr>
      <w:sz w:val="20"/>
      <w:szCs w:val="20"/>
      <w:lang w:val="en-GB" w:eastAsia="en-US"/>
    </w:rPr>
  </w:style>
  <w:style w:type="paragraph" w:styleId="ListBullet4">
    <w:name w:val="List Bullet 4"/>
    <w:basedOn w:val="Normal"/>
    <w:autoRedefine/>
    <w:rsid w:val="008429A0"/>
    <w:pPr>
      <w:tabs>
        <w:tab w:val="num" w:pos="1440"/>
      </w:tabs>
      <w:spacing w:before="0" w:after="0" w:line="240" w:lineRule="auto"/>
      <w:ind w:left="1440" w:hanging="360"/>
    </w:pPr>
    <w:rPr>
      <w:sz w:val="20"/>
      <w:szCs w:val="20"/>
      <w:lang w:val="en-GB" w:eastAsia="en-US"/>
    </w:rPr>
  </w:style>
  <w:style w:type="paragraph" w:styleId="ListBullet5">
    <w:name w:val="List Bullet 5"/>
    <w:basedOn w:val="Normal"/>
    <w:autoRedefine/>
    <w:rsid w:val="008429A0"/>
    <w:pPr>
      <w:tabs>
        <w:tab w:val="num" w:pos="1800"/>
      </w:tabs>
      <w:spacing w:before="0" w:after="0" w:line="240" w:lineRule="auto"/>
      <w:ind w:left="1800" w:hanging="360"/>
    </w:pPr>
    <w:rPr>
      <w:sz w:val="20"/>
      <w:szCs w:val="20"/>
      <w:lang w:val="en-GB" w:eastAsia="en-US"/>
    </w:rPr>
  </w:style>
  <w:style w:type="paragraph" w:styleId="ListNumber">
    <w:name w:val="List Number"/>
    <w:basedOn w:val="Normal"/>
    <w:rsid w:val="008429A0"/>
    <w:pPr>
      <w:tabs>
        <w:tab w:val="num" w:pos="360"/>
      </w:tabs>
      <w:spacing w:before="0" w:after="0" w:line="240" w:lineRule="auto"/>
      <w:ind w:left="360" w:hanging="360"/>
    </w:pPr>
    <w:rPr>
      <w:sz w:val="20"/>
      <w:szCs w:val="20"/>
      <w:lang w:val="en-GB" w:eastAsia="en-US"/>
    </w:rPr>
  </w:style>
  <w:style w:type="paragraph" w:styleId="ListNumber2">
    <w:name w:val="List Number 2"/>
    <w:basedOn w:val="Normal"/>
    <w:rsid w:val="008429A0"/>
    <w:pPr>
      <w:tabs>
        <w:tab w:val="num" w:pos="720"/>
      </w:tabs>
      <w:spacing w:before="0" w:after="0" w:line="240" w:lineRule="auto"/>
      <w:ind w:left="720" w:hanging="360"/>
    </w:pPr>
    <w:rPr>
      <w:sz w:val="20"/>
      <w:szCs w:val="20"/>
      <w:lang w:val="en-GB" w:eastAsia="en-US"/>
    </w:rPr>
  </w:style>
  <w:style w:type="paragraph" w:styleId="ListNumber3">
    <w:name w:val="List Number 3"/>
    <w:basedOn w:val="Normal"/>
    <w:rsid w:val="008429A0"/>
    <w:pPr>
      <w:tabs>
        <w:tab w:val="num" w:pos="1080"/>
      </w:tabs>
      <w:spacing w:before="0" w:after="0" w:line="240" w:lineRule="auto"/>
      <w:ind w:left="1080" w:hanging="360"/>
    </w:pPr>
    <w:rPr>
      <w:sz w:val="20"/>
      <w:szCs w:val="20"/>
      <w:lang w:val="en-GB" w:eastAsia="en-US"/>
    </w:rPr>
  </w:style>
  <w:style w:type="paragraph" w:styleId="ListNumber4">
    <w:name w:val="List Number 4"/>
    <w:basedOn w:val="Normal"/>
    <w:rsid w:val="008429A0"/>
    <w:pPr>
      <w:tabs>
        <w:tab w:val="num" w:pos="1440"/>
      </w:tabs>
      <w:spacing w:before="0" w:after="0" w:line="240" w:lineRule="auto"/>
      <w:ind w:left="1440" w:hanging="360"/>
    </w:pPr>
    <w:rPr>
      <w:sz w:val="20"/>
      <w:szCs w:val="20"/>
      <w:lang w:val="en-GB" w:eastAsia="en-US"/>
    </w:rPr>
  </w:style>
  <w:style w:type="paragraph" w:styleId="ListNumber5">
    <w:name w:val="List Number 5"/>
    <w:basedOn w:val="Normal"/>
    <w:rsid w:val="008429A0"/>
    <w:pPr>
      <w:tabs>
        <w:tab w:val="num" w:pos="1800"/>
      </w:tabs>
      <w:spacing w:before="0" w:after="0" w:line="240" w:lineRule="auto"/>
      <w:ind w:left="1800" w:hanging="360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8429A0"/>
    <w:pPr>
      <w:spacing w:before="0" w:after="0" w:line="240" w:lineRule="auto"/>
      <w:ind w:left="720" w:firstLine="0"/>
      <w:jc w:val="both"/>
    </w:pPr>
    <w:rPr>
      <w:rFonts w:ascii="Arial" w:hAnsi="Arial"/>
      <w:color w:val="FF000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429A0"/>
    <w:rPr>
      <w:rFonts w:ascii="Arial" w:hAnsi="Arial"/>
      <w:color w:val="FF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8429A0"/>
    <w:pPr>
      <w:suppressAutoHyphens/>
      <w:spacing w:before="360" w:after="0" w:line="240" w:lineRule="auto"/>
      <w:ind w:firstLine="0"/>
    </w:pPr>
    <w:rPr>
      <w:rFonts w:ascii="Arial" w:eastAsia="SimSun" w:hAnsi="Arial" w:cs="Arial"/>
      <w:b/>
      <w:bCs/>
      <w:caps/>
      <w:lang w:val="en-US" w:eastAsia="ar-SA"/>
    </w:rPr>
  </w:style>
  <w:style w:type="character" w:styleId="FollowedHyperlink">
    <w:name w:val="FollowedHyperlink"/>
    <w:rsid w:val="008429A0"/>
    <w:rPr>
      <w:color w:val="800080"/>
      <w:u w:val="single"/>
    </w:rPr>
  </w:style>
  <w:style w:type="paragraph" w:customStyle="1" w:styleId="Flie">
    <w:name w:val="Fließ"/>
    <w:basedOn w:val="Normal"/>
    <w:rsid w:val="008429A0"/>
    <w:pPr>
      <w:tabs>
        <w:tab w:val="left" w:pos="1418"/>
      </w:tabs>
      <w:spacing w:before="0" w:after="0" w:line="240" w:lineRule="auto"/>
      <w:ind w:left="567" w:firstLine="0"/>
      <w:jc w:val="both"/>
    </w:pPr>
    <w:rPr>
      <w:rFonts w:ascii="Arial" w:hAnsi="Arial" w:cs="Arial"/>
      <w:sz w:val="22"/>
      <w:szCs w:val="22"/>
      <w:lang w:val="de-DE" w:eastAsia="en-US"/>
    </w:rPr>
  </w:style>
  <w:style w:type="paragraph" w:customStyle="1" w:styleId="berschrift">
    <w:name w:val="Überschrift"/>
    <w:basedOn w:val="Normal"/>
    <w:rsid w:val="008429A0"/>
    <w:pPr>
      <w:spacing w:before="0" w:after="0" w:line="240" w:lineRule="auto"/>
      <w:ind w:left="567" w:hanging="567"/>
      <w:jc w:val="both"/>
    </w:pPr>
    <w:rPr>
      <w:rFonts w:ascii="Arial" w:hAnsi="Arial" w:cs="Arial"/>
      <w:b/>
      <w:bCs/>
      <w:sz w:val="22"/>
      <w:szCs w:val="22"/>
      <w:lang w:val="de-DE" w:eastAsia="en-US"/>
    </w:rPr>
  </w:style>
  <w:style w:type="paragraph" w:customStyle="1" w:styleId="21">
    <w:name w:val="Основен текст с отстъп 21"/>
    <w:basedOn w:val="Normal"/>
    <w:rsid w:val="008429A0"/>
    <w:pPr>
      <w:suppressAutoHyphens/>
      <w:overflowPunct w:val="0"/>
      <w:autoSpaceDE w:val="0"/>
      <w:spacing w:before="0" w:after="0" w:line="240" w:lineRule="auto"/>
      <w:ind w:firstLine="709"/>
      <w:jc w:val="both"/>
    </w:pPr>
    <w:rPr>
      <w:rFonts w:ascii="Arial" w:hAnsi="Arial" w:cs="Arial"/>
      <w:lang w:eastAsia="ar-SA"/>
    </w:rPr>
  </w:style>
  <w:style w:type="paragraph" w:customStyle="1" w:styleId="31">
    <w:name w:val="Основен текст с отстъп 31"/>
    <w:basedOn w:val="Normal"/>
    <w:rsid w:val="008429A0"/>
    <w:pPr>
      <w:suppressAutoHyphens/>
      <w:overflowPunct w:val="0"/>
      <w:autoSpaceDE w:val="0"/>
      <w:spacing w:before="0" w:after="0" w:line="240" w:lineRule="auto"/>
      <w:ind w:firstLine="709"/>
      <w:jc w:val="both"/>
    </w:pPr>
    <w:rPr>
      <w:rFonts w:ascii="Arial" w:hAnsi="Arial" w:cs="Arial"/>
      <w:color w:val="FF0000"/>
      <w:lang w:eastAsia="ar-SA"/>
    </w:rPr>
  </w:style>
  <w:style w:type="paragraph" w:styleId="Caption">
    <w:name w:val="caption"/>
    <w:basedOn w:val="Normal"/>
    <w:next w:val="Normal"/>
    <w:qFormat/>
    <w:rsid w:val="008429A0"/>
    <w:pPr>
      <w:spacing w:before="0" w:after="0" w:line="360" w:lineRule="atLeast"/>
      <w:ind w:firstLine="709"/>
    </w:pPr>
    <w:rPr>
      <w:rFonts w:ascii="Arial Narrow" w:hAnsi="Arial Narrow"/>
      <w:bCs/>
      <w:u w:val="single"/>
      <w:lang w:eastAsia="en-US"/>
    </w:rPr>
  </w:style>
  <w:style w:type="character" w:customStyle="1" w:styleId="WW8Num72z2">
    <w:name w:val="WW8Num72z2"/>
    <w:rsid w:val="008429A0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8429A0"/>
    <w:pPr>
      <w:keepNext/>
      <w:suppressAutoHyphens/>
      <w:spacing w:before="240" w:line="240" w:lineRule="auto"/>
      <w:ind w:firstLine="0"/>
    </w:pPr>
    <w:rPr>
      <w:rFonts w:ascii="Arial" w:eastAsia="Lucida Sans Unicode" w:hAnsi="Arial" w:cs="Tahoma"/>
      <w:sz w:val="28"/>
      <w:szCs w:val="28"/>
      <w:lang w:val="en-AU" w:eastAsia="ar-SA"/>
    </w:rPr>
  </w:style>
  <w:style w:type="paragraph" w:styleId="List">
    <w:name w:val="List"/>
    <w:basedOn w:val="BodyText"/>
    <w:rsid w:val="008429A0"/>
    <w:pPr>
      <w:suppressAutoHyphens/>
      <w:jc w:val="left"/>
    </w:pPr>
    <w:rPr>
      <w:rFonts w:cs="Tahoma"/>
      <w:szCs w:val="20"/>
      <w:lang w:eastAsia="ar-SA"/>
    </w:rPr>
  </w:style>
  <w:style w:type="paragraph" w:customStyle="1" w:styleId="Index">
    <w:name w:val="Index"/>
    <w:basedOn w:val="Normal"/>
    <w:rsid w:val="008429A0"/>
    <w:pPr>
      <w:suppressLineNumbers/>
      <w:suppressAutoHyphens/>
      <w:spacing w:before="0" w:after="0" w:line="240" w:lineRule="auto"/>
      <w:ind w:firstLine="0"/>
    </w:pPr>
    <w:rPr>
      <w:rFonts w:cs="Tahoma"/>
      <w:sz w:val="20"/>
      <w:szCs w:val="20"/>
      <w:lang w:val="en-AU" w:eastAsia="ar-SA"/>
    </w:rPr>
  </w:style>
  <w:style w:type="paragraph" w:customStyle="1" w:styleId="1">
    <w:name w:val="Заглавие1"/>
    <w:basedOn w:val="Normal"/>
    <w:next w:val="BodyText"/>
    <w:rsid w:val="008429A0"/>
    <w:pPr>
      <w:keepNext/>
      <w:suppressAutoHyphens/>
      <w:spacing w:before="240" w:line="240" w:lineRule="auto"/>
      <w:ind w:firstLine="0"/>
    </w:pPr>
    <w:rPr>
      <w:rFonts w:ascii="Arial" w:eastAsia="Lucida Sans Unicode" w:hAnsi="Arial" w:cs="Tahoma"/>
      <w:sz w:val="28"/>
      <w:szCs w:val="28"/>
      <w:lang w:val="en-AU" w:eastAsia="ar-SA"/>
    </w:rPr>
  </w:style>
  <w:style w:type="paragraph" w:customStyle="1" w:styleId="10">
    <w:name w:val="Надпис1"/>
    <w:basedOn w:val="Normal"/>
    <w:rsid w:val="008429A0"/>
    <w:pPr>
      <w:suppressLineNumbers/>
      <w:suppressAutoHyphens/>
      <w:spacing w:line="240" w:lineRule="auto"/>
      <w:ind w:firstLine="0"/>
    </w:pPr>
    <w:rPr>
      <w:rFonts w:cs="Tahoma"/>
      <w:i/>
      <w:iCs/>
      <w:lang w:val="en-AU" w:eastAsia="ar-SA"/>
    </w:rPr>
  </w:style>
  <w:style w:type="paragraph" w:customStyle="1" w:styleId="a">
    <w:name w:val="Указател"/>
    <w:basedOn w:val="Normal"/>
    <w:rsid w:val="008429A0"/>
    <w:pPr>
      <w:suppressLineNumbers/>
      <w:suppressAutoHyphens/>
      <w:spacing w:before="0" w:after="0" w:line="240" w:lineRule="auto"/>
      <w:ind w:firstLine="0"/>
    </w:pPr>
    <w:rPr>
      <w:rFonts w:cs="Tahoma"/>
      <w:sz w:val="20"/>
      <w:szCs w:val="20"/>
      <w:lang w:val="en-AU" w:eastAsia="ar-SA"/>
    </w:rPr>
  </w:style>
  <w:style w:type="paragraph" w:customStyle="1" w:styleId="-">
    <w:name w:val="Таблица - съдържание"/>
    <w:basedOn w:val="Normal"/>
    <w:rsid w:val="008429A0"/>
    <w:pPr>
      <w:suppressLineNumbers/>
      <w:suppressAutoHyphens/>
      <w:spacing w:before="0" w:after="0" w:line="240" w:lineRule="auto"/>
      <w:ind w:firstLine="0"/>
    </w:pPr>
    <w:rPr>
      <w:rFonts w:cs="Tahoma"/>
      <w:sz w:val="20"/>
      <w:szCs w:val="20"/>
      <w:lang w:val="en-AU" w:eastAsia="ar-SA"/>
    </w:rPr>
  </w:style>
  <w:style w:type="paragraph" w:customStyle="1" w:styleId="-0">
    <w:name w:val="Таблица - заглавие"/>
    <w:basedOn w:val="-"/>
    <w:rsid w:val="008429A0"/>
    <w:pPr>
      <w:jc w:val="center"/>
    </w:pPr>
    <w:rPr>
      <w:b/>
      <w:bCs/>
    </w:rPr>
  </w:style>
  <w:style w:type="paragraph" w:customStyle="1" w:styleId="WW-BodyText2">
    <w:name w:val="WW-Body Text 2"/>
    <w:basedOn w:val="Normal"/>
    <w:rsid w:val="008429A0"/>
    <w:pPr>
      <w:suppressAutoHyphens/>
      <w:spacing w:before="0" w:after="0" w:line="240" w:lineRule="auto"/>
      <w:ind w:firstLine="0"/>
      <w:jc w:val="both"/>
    </w:pPr>
    <w:rPr>
      <w:rFonts w:ascii="Tahoma" w:hAnsi="Tahoma" w:cs="Tahoma"/>
      <w:b/>
      <w:szCs w:val="20"/>
      <w:lang w:eastAsia="ar-SA"/>
    </w:rPr>
  </w:style>
  <w:style w:type="paragraph" w:customStyle="1" w:styleId="WW-BodyText3">
    <w:name w:val="WW-Body Text 3"/>
    <w:basedOn w:val="Normal"/>
    <w:rsid w:val="008429A0"/>
    <w:pPr>
      <w:tabs>
        <w:tab w:val="center" w:pos="1872"/>
      </w:tabs>
      <w:suppressAutoHyphens/>
      <w:spacing w:before="0" w:after="0" w:line="240" w:lineRule="auto"/>
      <w:ind w:firstLine="0"/>
    </w:pPr>
    <w:rPr>
      <w:rFonts w:ascii="Arial Narrow" w:hAnsi="Arial Narrow" w:cs="Tahoma"/>
      <w:b/>
      <w:sz w:val="28"/>
      <w:szCs w:val="20"/>
      <w:lang w:eastAsia="ar-SA"/>
    </w:rPr>
  </w:style>
  <w:style w:type="paragraph" w:customStyle="1" w:styleId="Footer1">
    <w:name w:val="Footer1"/>
    <w:basedOn w:val="Normal"/>
    <w:rsid w:val="008429A0"/>
    <w:pPr>
      <w:tabs>
        <w:tab w:val="center" w:pos="4153"/>
        <w:tab w:val="right" w:pos="8306"/>
      </w:tabs>
      <w:suppressAutoHyphens/>
      <w:spacing w:before="0" w:after="0" w:line="240" w:lineRule="auto"/>
      <w:ind w:firstLine="0"/>
    </w:pPr>
    <w:rPr>
      <w:rFonts w:cs="Tahoma"/>
      <w:sz w:val="20"/>
      <w:szCs w:val="20"/>
      <w:lang w:val="en-AU" w:eastAsia="ar-SA"/>
    </w:rPr>
  </w:style>
  <w:style w:type="paragraph" w:customStyle="1" w:styleId="TableContents">
    <w:name w:val="Table Contents"/>
    <w:basedOn w:val="Normal"/>
    <w:rsid w:val="008429A0"/>
    <w:pPr>
      <w:suppressLineNumbers/>
      <w:suppressAutoHyphens/>
      <w:spacing w:before="0" w:after="0" w:line="240" w:lineRule="auto"/>
      <w:ind w:firstLine="0"/>
    </w:pPr>
    <w:rPr>
      <w:rFonts w:cs="Tahoma"/>
      <w:sz w:val="20"/>
      <w:szCs w:val="20"/>
      <w:lang w:val="en-AU" w:eastAsia="ar-SA"/>
    </w:rPr>
  </w:style>
  <w:style w:type="paragraph" w:customStyle="1" w:styleId="TableHeading">
    <w:name w:val="Table Heading"/>
    <w:basedOn w:val="TableContents"/>
    <w:rsid w:val="008429A0"/>
    <w:pPr>
      <w:jc w:val="center"/>
    </w:pPr>
    <w:rPr>
      <w:b/>
      <w:bCs/>
    </w:rPr>
  </w:style>
  <w:style w:type="paragraph" w:customStyle="1" w:styleId="Doktitel">
    <w:name w:val="Doktitel"/>
    <w:basedOn w:val="Normal"/>
    <w:rsid w:val="008429A0"/>
    <w:pPr>
      <w:spacing w:before="0" w:after="480" w:line="240" w:lineRule="auto"/>
      <w:ind w:firstLine="0"/>
      <w:jc w:val="both"/>
    </w:pPr>
    <w:rPr>
      <w:rFonts w:ascii="Arial" w:hAnsi="Arial" w:cs="Arial"/>
      <w:b/>
      <w:bCs/>
      <w:sz w:val="28"/>
      <w:szCs w:val="28"/>
      <w:lang w:val="de-DE" w:eastAsia="en-US"/>
    </w:rPr>
  </w:style>
  <w:style w:type="paragraph" w:styleId="NormalWeb">
    <w:name w:val="Normal (Web)"/>
    <w:basedOn w:val="Normal"/>
    <w:rsid w:val="008429A0"/>
    <w:pPr>
      <w:spacing w:before="100" w:beforeAutospacing="1" w:after="100" w:afterAutospacing="1" w:line="240" w:lineRule="auto"/>
      <w:ind w:firstLine="0"/>
    </w:pPr>
    <w:rPr>
      <w:lang w:val="en-GB" w:eastAsia="en-US"/>
    </w:rPr>
  </w:style>
  <w:style w:type="character" w:customStyle="1" w:styleId="bodywhite">
    <w:name w:val="bodywhite"/>
    <w:rsid w:val="008429A0"/>
  </w:style>
  <w:style w:type="paragraph" w:styleId="BalloonText">
    <w:name w:val="Balloon Text"/>
    <w:basedOn w:val="Normal"/>
    <w:link w:val="BalloonTextChar"/>
    <w:rsid w:val="008429A0"/>
    <w:pPr>
      <w:spacing w:before="0" w:after="0" w:line="240" w:lineRule="auto"/>
      <w:ind w:firstLine="0"/>
    </w:pPr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429A0"/>
    <w:rPr>
      <w:rFonts w:ascii="Tahoma" w:hAnsi="Tahoma"/>
      <w:sz w:val="16"/>
      <w:szCs w:val="16"/>
      <w:lang w:val="en-GB" w:eastAsia="en-US"/>
    </w:rPr>
  </w:style>
  <w:style w:type="paragraph" w:customStyle="1" w:styleId="Default">
    <w:name w:val="Default"/>
    <w:rsid w:val="008429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8429A0"/>
  </w:style>
  <w:style w:type="numbering" w:customStyle="1" w:styleId="NoList12">
    <w:name w:val="No List12"/>
    <w:next w:val="NoList"/>
    <w:semiHidden/>
    <w:unhideWhenUsed/>
    <w:rsid w:val="008429A0"/>
  </w:style>
  <w:style w:type="table" w:customStyle="1" w:styleId="TableGrid1">
    <w:name w:val="Table Grid1"/>
    <w:basedOn w:val="TableNormal"/>
    <w:next w:val="TableGrid"/>
    <w:rsid w:val="0084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8429A0"/>
    <w:pPr>
      <w:numPr>
        <w:numId w:val="12"/>
      </w:numPr>
      <w:spacing w:before="0" w:after="0" w:line="240" w:lineRule="auto"/>
    </w:pPr>
    <w:rPr>
      <w:b/>
      <w:sz w:val="26"/>
      <w:szCs w:val="26"/>
    </w:rPr>
  </w:style>
  <w:style w:type="paragraph" w:customStyle="1" w:styleId="Style11">
    <w:name w:val="Style 1.1"/>
    <w:basedOn w:val="Normal"/>
    <w:rsid w:val="008429A0"/>
    <w:pPr>
      <w:numPr>
        <w:ilvl w:val="1"/>
        <w:numId w:val="12"/>
      </w:numPr>
      <w:spacing w:before="0" w:after="0"/>
      <w:jc w:val="both"/>
    </w:pPr>
    <w:rPr>
      <w:b/>
      <w:sz w:val="32"/>
    </w:rPr>
  </w:style>
  <w:style w:type="paragraph" w:customStyle="1" w:styleId="Style111">
    <w:name w:val="Style 1.1.1"/>
    <w:basedOn w:val="Normal"/>
    <w:rsid w:val="008429A0"/>
    <w:pPr>
      <w:numPr>
        <w:ilvl w:val="2"/>
        <w:numId w:val="12"/>
      </w:numPr>
      <w:spacing w:before="0" w:after="0"/>
      <w:jc w:val="both"/>
    </w:pPr>
    <w:rPr>
      <w:sz w:val="26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8429A0"/>
  </w:style>
  <w:style w:type="numbering" w:customStyle="1" w:styleId="NoList13">
    <w:name w:val="No List13"/>
    <w:next w:val="NoList"/>
    <w:semiHidden/>
    <w:unhideWhenUsed/>
    <w:rsid w:val="008429A0"/>
  </w:style>
  <w:style w:type="table" w:customStyle="1" w:styleId="TableGrid2">
    <w:name w:val="Table Grid2"/>
    <w:basedOn w:val="TableNormal"/>
    <w:next w:val="TableGrid"/>
    <w:rsid w:val="0084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rsid w:val="008429A0"/>
    <w:rPr>
      <w:vertAlign w:val="superscript"/>
    </w:rPr>
  </w:style>
  <w:style w:type="character" w:customStyle="1" w:styleId="SP-SuPer">
    <w:name w:val="SP-SuPer"/>
    <w:rsid w:val="008429A0"/>
    <w:rPr>
      <w:spacing w:val="0"/>
      <w:position w:val="6"/>
      <w:sz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venkovaT\AppData\Local\Microsoft\Windows\Temporary%20Internet%20Files\Content.IE5\U2OJGQY9\6D3_Secretary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6D3_SecretaryGeneral.dotx</Template>
  <TotalTime>0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9639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Administrator</dc:creator>
  <cp:lastModifiedBy>STEFKA YOTOVA</cp:lastModifiedBy>
  <cp:revision>2</cp:revision>
  <cp:lastPrinted>2018-08-21T12:42:00Z</cp:lastPrinted>
  <dcterms:created xsi:type="dcterms:W3CDTF">2022-08-18T12:14:00Z</dcterms:created>
  <dcterms:modified xsi:type="dcterms:W3CDTF">2022-08-18T12:14:00Z</dcterms:modified>
</cp:coreProperties>
</file>